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D" w:rsidRPr="002A1DCA" w:rsidRDefault="000B1ACD" w:rsidP="000B1ACD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Кам'янець-Подільський національний університет імені Івана Огієнка </w:t>
      </w: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A1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факультет історичний</w:t>
      </w:r>
      <w:r w:rsidRPr="002A1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кафедра </w:t>
      </w:r>
      <w:r w:rsidR="00466884" w:rsidRPr="002A1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політології та філософії</w:t>
      </w:r>
    </w:p>
    <w:p w:rsidR="000B1ACD" w:rsidRPr="009513CD" w:rsidRDefault="000B1ACD" w:rsidP="000B1ACD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Загальна інформація про курс</w:t>
      </w:r>
    </w:p>
    <w:p w:rsidR="000B1ACD" w:rsidRPr="009513CD" w:rsidRDefault="000B1ACD" w:rsidP="000B1ACD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2955"/>
        <w:gridCol w:w="12486"/>
      </w:tblGrid>
      <w:tr w:rsidR="000B1ACD" w:rsidRPr="009513CD" w:rsidTr="002A1DCA">
        <w:trPr>
          <w:trHeight w:val="301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0B1ACD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1ACD" w:rsidRPr="009513CD" w:rsidRDefault="009119B7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Громадянське суспільство</w:t>
            </w:r>
            <w:r w:rsidR="000B1ACD" w:rsidRPr="0095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мова викладання: українська</w:t>
            </w:r>
          </w:p>
        </w:tc>
      </w:tr>
      <w:tr w:rsidR="000B1ACD" w:rsidRPr="009513CD" w:rsidTr="002A1DCA">
        <w:trPr>
          <w:trHeight w:val="18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0B1ACD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A70452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Віннічук Ольга Василівна</w:t>
            </w:r>
            <w:r w:rsidR="000B1ACD" w:rsidRPr="0095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0B1ACD" w:rsidRPr="009513CD" w:rsidTr="002A1DCA">
        <w:trPr>
          <w:trHeight w:val="48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0B1ACD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396C13" w:rsidP="001D12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13">
              <w:rPr>
                <w:rFonts w:ascii="Times New Roman" w:hAnsi="Times New Roman" w:cs="Times New Roman"/>
                <w:sz w:val="24"/>
                <w:szCs w:val="24"/>
              </w:rPr>
              <w:t>https://moodle.kpnu.edu.ua/user/profile.php?id=2840&amp;showallcourses=1</w:t>
            </w:r>
          </w:p>
        </w:tc>
      </w:tr>
      <w:tr w:rsidR="000B1ACD" w:rsidRPr="009513CD" w:rsidTr="002A1DCA">
        <w:trPr>
          <w:trHeight w:val="481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0B1ACD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A70452" w:rsidP="001D12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oljahorbnjak@gmail.com</w:t>
            </w:r>
          </w:p>
        </w:tc>
      </w:tr>
      <w:tr w:rsidR="000B1ACD" w:rsidRPr="009513CD" w:rsidTr="002A1DCA">
        <w:trPr>
          <w:trHeight w:val="591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0B1ACD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2A1DCA" w:rsidP="000B1AC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9513CD" w:rsidRPr="009513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https://moodle.kpnu.edu.ua/course/view.php?id=1702</w:t>
              </w:r>
            </w:hyperlink>
          </w:p>
        </w:tc>
      </w:tr>
      <w:tr w:rsidR="000B1ACD" w:rsidRPr="009513CD" w:rsidTr="002A1DCA">
        <w:trPr>
          <w:trHeight w:val="74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B1ACD" w:rsidRPr="009513CD" w:rsidRDefault="000B1ACD" w:rsidP="001D1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0452" w:rsidRPr="009513CD" w:rsidRDefault="00A70452" w:rsidP="00A7045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Очні консультації: вівторок (за попередньою домовленістю) з 13.00 до 15.00</w:t>
            </w:r>
          </w:p>
          <w:p w:rsidR="000B1ACD" w:rsidRPr="009513CD" w:rsidRDefault="00A70452" w:rsidP="00A70452">
            <w:pPr>
              <w:pStyle w:val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консультації: </w:t>
            </w:r>
            <w:proofErr w:type="spellStart"/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(097 966 17 04) у робочі дні з 9.00 до 17.30</w:t>
            </w:r>
          </w:p>
        </w:tc>
      </w:tr>
    </w:tbl>
    <w:p w:rsidR="000B1ACD" w:rsidRPr="009513CD" w:rsidRDefault="000B1ACD" w:rsidP="000B1ACD">
      <w:pPr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ACD" w:rsidRPr="009513CD" w:rsidRDefault="000B1ACD" w:rsidP="000B1ACD">
      <w:pPr>
        <w:pStyle w:val="a4"/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Анотація до курсу</w:t>
      </w:r>
    </w:p>
    <w:p w:rsidR="00A70452" w:rsidRPr="009513CD" w:rsidRDefault="004B7B1C" w:rsidP="004B7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Навчальна дисципліна “Громадянське суспільство” є вибірковою дисципліною загальної підготовки та передбачає формування у студентів професійних компетентностей у галузі політології, соціології, виховання інтересу до процесів державотворення, політичного життя суспільства та політичної науки, загалом. Складена відповідно до освітньо-професійної програми підготовки бакалавра спеціальності 052 «Політологія». </w:t>
      </w:r>
    </w:p>
    <w:p w:rsidR="007C7504" w:rsidRPr="009513CD" w:rsidRDefault="007C7504" w:rsidP="007C7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Методика вивчення дисциплінипередбачає врахування взаємозв’язків основних тем курсу з поняттями, термінами і категоріями таких дисциплін, як “Політична культура”, “Політична теорія держави”, “Політика і права людини”, “Основи демократії” тощо.</w:t>
      </w:r>
    </w:p>
    <w:p w:rsidR="007C7504" w:rsidRPr="009513CD" w:rsidRDefault="007C7504" w:rsidP="007C7504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527" w:rsidRPr="009513CD" w:rsidRDefault="00E26527" w:rsidP="007D2DA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ACD" w:rsidRPr="009513CD" w:rsidRDefault="000B1ACD" w:rsidP="000B1ACD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 та цілі курсу</w:t>
      </w:r>
    </w:p>
    <w:p w:rsidR="00BF2290" w:rsidRPr="009513CD" w:rsidRDefault="00BF2290" w:rsidP="00BF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Метою</w:t>
      </w:r>
      <w:r w:rsidRPr="0095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викладання навчальної дисципліни “Громадянське суспільство” є: </w:t>
      </w:r>
      <w:r w:rsidRPr="009513CD">
        <w:rPr>
          <w:rFonts w:ascii="Times New Roman" w:eastAsia="Times New Roman" w:hAnsi="Times New Roman" w:cs="Times New Roman"/>
          <w:sz w:val="24"/>
          <w:szCs w:val="24"/>
        </w:rPr>
        <w:t>формування знань студентів про розвиток і особливості функціонування громадянського суспільства в Україні та за рубежем.</w:t>
      </w:r>
    </w:p>
    <w:p w:rsidR="009119B7" w:rsidRPr="009513CD" w:rsidRDefault="009119B7" w:rsidP="00BF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290" w:rsidRPr="009513CD" w:rsidRDefault="00BF2290" w:rsidP="00BF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Основними завданнями вивчення дисципліни “Громадянське суспільство”є:</w:t>
      </w:r>
    </w:p>
    <w:p w:rsidR="00BF2290" w:rsidRPr="009513CD" w:rsidRDefault="00BF2290" w:rsidP="009119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розкрити зміст поняття «громадянське суспільство» та дослідити специфіку його становлення;</w:t>
      </w:r>
    </w:p>
    <w:p w:rsidR="00BF2290" w:rsidRPr="009513CD" w:rsidRDefault="00BF2290" w:rsidP="009119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вивчити концептуальні засади розвитку громадянського суспільства;</w:t>
      </w:r>
    </w:p>
    <w:p w:rsidR="00BF2290" w:rsidRPr="009513CD" w:rsidRDefault="00BF2290" w:rsidP="009119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дослідити шляхи становлення громадянського суспільства на українському просторі;</w:t>
      </w:r>
    </w:p>
    <w:p w:rsidR="00BF2290" w:rsidRPr="009513CD" w:rsidRDefault="00BF2290" w:rsidP="009119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з’ясувати особливості взаємовідносин держави та громадянського суспільства;</w:t>
      </w:r>
    </w:p>
    <w:p w:rsidR="00BF2290" w:rsidRPr="009513CD" w:rsidRDefault="00BF2290" w:rsidP="009119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дослідити роль органів самоорганізації населення як чинника, що впливає на розвиток громадянського суспільства в Україні.</w:t>
      </w:r>
    </w:p>
    <w:p w:rsidR="009119B7" w:rsidRPr="009513CD" w:rsidRDefault="009119B7" w:rsidP="009119B7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290" w:rsidRPr="009513CD" w:rsidRDefault="00BF2290" w:rsidP="00BF229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з вимогами освітньо-професійної програми студенти повинні</w:t>
      </w:r>
      <w:r w:rsidRPr="0095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володітипонятійно-категоріальним апаратом;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знати правові засади створення громадських організацій як невід’ємного атрибуту громадянського суспільства;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характеризувати закономірності розвитку громадянського суспільства в Україні.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пояснювати як співвідноситься розвиток громадянського суспільства і демократії;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</w:rPr>
        <w:t>опираючись на законодавчу базу, повинен вміти оформити статутний документ (положення) ще не легалізованої громадської організації</w:t>
      </w:r>
      <w:r w:rsidR="00400BD8" w:rsidRPr="009513CD">
        <w:rPr>
          <w:rFonts w:ascii="Times New Roman" w:eastAsia="Times New Roman" w:hAnsi="Times New Roman" w:cs="Times New Roman"/>
          <w:sz w:val="24"/>
          <w:szCs w:val="24"/>
        </w:rPr>
        <w:t xml:space="preserve"> тощо</w:t>
      </w:r>
      <w:r w:rsidRPr="00951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290" w:rsidRPr="009513CD" w:rsidRDefault="00BF2290" w:rsidP="00B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2DAC" w:rsidRPr="009513CD" w:rsidRDefault="007D2DAC" w:rsidP="007D2DAC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курсу</w:t>
      </w:r>
    </w:p>
    <w:p w:rsidR="00BB6E11" w:rsidRPr="009513CD" w:rsidRDefault="00BF2290" w:rsidP="00BF2290">
      <w:pPr>
        <w:spacing w:after="16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</w:t>
      </w:r>
      <w:r w:rsidR="007C7504" w:rsidRPr="009513CD">
        <w:rPr>
          <w:rFonts w:ascii="Times New Roman" w:hAnsi="Times New Roman" w:cs="Times New Roman"/>
          <w:sz w:val="24"/>
          <w:szCs w:val="24"/>
        </w:rPr>
        <w:t>ійні технології, такі як відео</w:t>
      </w:r>
      <w:r w:rsidRPr="00951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консультування тощо.</w:t>
      </w:r>
    </w:p>
    <w:p w:rsidR="007D2DAC" w:rsidRPr="009513CD" w:rsidRDefault="007D2DAC" w:rsidP="00BB6E11">
      <w:pPr>
        <w:pStyle w:val="a4"/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 навчання</w:t>
      </w:r>
    </w:p>
    <w:p w:rsidR="000B1ACD" w:rsidRPr="009513CD" w:rsidRDefault="007D2DAC" w:rsidP="00BF229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Очікувані результати навчання з дисципліни.</w:t>
      </w:r>
    </w:p>
    <w:p w:rsidR="00BF2290" w:rsidRPr="009513CD" w:rsidRDefault="00BF2290" w:rsidP="00BF2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13CD">
        <w:rPr>
          <w:rFonts w:ascii="Times New Roman" w:hAnsi="Times New Roman" w:cs="Times New Roman"/>
          <w:color w:val="000000"/>
          <w:sz w:val="24"/>
          <w:szCs w:val="24"/>
        </w:rPr>
        <w:t>У результаті вивчення навчальної дисципліни студенти повинні</w:t>
      </w:r>
      <w:r w:rsidR="00316A5C" w:rsidRPr="009513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володітипонятійно-категоріальним апаратом;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знати правові засади створення громадських організацій як невід’ємного атрибуту громадянського суспільства;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характеризувати закономірності розвитку громадянського суспільства на світовому просторі та в Україні.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lastRenderedPageBreak/>
        <w:t>пояснювати як співвідноситься розвиток громадянського суспільства і демократії;</w:t>
      </w:r>
    </w:p>
    <w:p w:rsidR="00BF2290" w:rsidRPr="009513CD" w:rsidRDefault="00BF2290" w:rsidP="00BF229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опираючись на законодавчу базу, повинен вміти оформити статутний документ (положення) ще не легалізованої громадської організації.</w:t>
      </w:r>
    </w:p>
    <w:p w:rsidR="00316A5C" w:rsidRPr="009513CD" w:rsidRDefault="00316A5C" w:rsidP="00BF229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ACD" w:rsidRPr="009513CD" w:rsidRDefault="000B1ACD" w:rsidP="000B1ACD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і ознаки курсу</w:t>
      </w:r>
    </w:p>
    <w:p w:rsidR="000B1ACD" w:rsidRPr="009513CD" w:rsidRDefault="000B1ACD" w:rsidP="000B1ACD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875"/>
        <w:gridCol w:w="4794"/>
        <w:gridCol w:w="4757"/>
      </w:tblGrid>
      <w:tr w:rsidR="000B1ACD" w:rsidRPr="009513CD" w:rsidTr="001D12B9">
        <w:trPr>
          <w:trHeight w:val="254"/>
        </w:trPr>
        <w:tc>
          <w:tcPr>
            <w:tcW w:w="5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0B1ACD" w:rsidRPr="009513CD" w:rsidTr="001D12B9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9119B7" w:rsidP="00A7045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 Політологія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2A1DCA" w:rsidRDefault="00A70452" w:rsidP="002A1D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четвертий</w:t>
            </w:r>
            <w:r w:rsidR="00396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2A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0B1ACD" w:rsidRPr="0095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A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396C13" w:rsidP="00BF22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восьмий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BF2290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BF2290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ACD"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кредити ЄКТС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BF2290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6527" w:rsidRPr="00951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ACD"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BF2290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ACD" w:rsidRPr="009513CD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  <w:bookmarkStart w:id="0" w:name="_GoBack"/>
            <w:bookmarkEnd w:id="0"/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BF2290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527" w:rsidRPr="00951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ACD"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E26527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1ACD"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0 год.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BF2290" w:rsidP="001D1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ACD" w:rsidRPr="009513CD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1ACD" w:rsidRPr="009513CD" w:rsidTr="001D12B9"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0B1ACD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CD" w:rsidRPr="009513CD" w:rsidRDefault="00E26527" w:rsidP="001D1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CD" w:rsidRPr="009513CD" w:rsidRDefault="000B1ACD" w:rsidP="001D12B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B1ACD" w:rsidRPr="009513CD" w:rsidRDefault="000B1ACD" w:rsidP="000B1ACD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1ACD" w:rsidRPr="009513CD" w:rsidRDefault="000B1ACD" w:rsidP="000B1ACD">
      <w:pPr>
        <w:pStyle w:val="a4"/>
        <w:numPr>
          <w:ilvl w:val="0"/>
          <w:numId w:val="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513CD"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9513C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</w:t>
      </w:r>
    </w:p>
    <w:p w:rsidR="007C7504" w:rsidRPr="009513CD" w:rsidRDefault="007C7504" w:rsidP="007C75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lastRenderedPageBreak/>
        <w:t>Методика вивчення дисципліни передбачає врахування взаємозв’язків основних тем курсу з поняттями, термінами і категоріями таких дисциплін, як “Політична культура”, “Політична теорія держави”, “Політика і права людини”, “Основи демократії”.</w:t>
      </w:r>
    </w:p>
    <w:p w:rsidR="000B1ACD" w:rsidRPr="009513CD" w:rsidRDefault="000B1ACD" w:rsidP="00E2652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CD" w:rsidRPr="009513CD" w:rsidRDefault="000B1ACD" w:rsidP="000B1ACD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:rsidR="00A70452" w:rsidRPr="009513CD" w:rsidRDefault="000B1ACD" w:rsidP="00A7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0B1ACD" w:rsidRPr="009513CD" w:rsidRDefault="00A70452" w:rsidP="00A7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У період сесії бажано мати мобільний пристрій для комунікації з адміністрацією, викладачами з приводу проведення занять, консультацій.</w:t>
      </w:r>
    </w:p>
    <w:p w:rsidR="000B1ACD" w:rsidRPr="009513CD" w:rsidRDefault="000B1ACD" w:rsidP="000B1ACD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Політики курсу</w:t>
      </w:r>
    </w:p>
    <w:p w:rsidR="00A70452" w:rsidRPr="009513CD" w:rsidRDefault="00A70452" w:rsidP="000B1ACD">
      <w:pPr>
        <w:pStyle w:val="a4"/>
        <w:spacing w:after="1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При організації освітнього процесу у Кам’янець-Подільському національному університеті імені Івана Огієнка студенти, викладачі, методисти, адміністрація діють відповідно до: Положення про організацію освітнього процесу, Кодексу академічної доброчесності, Положення про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критеріїі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оцінювання знань студентів, Положення про укладання та контроль за виконанням договору про надання освітніх послуг, Положення про внутрішнє забезпечення якості освіти тощо.</w:t>
      </w:r>
    </w:p>
    <w:p w:rsidR="000B1ACD" w:rsidRPr="009513CD" w:rsidRDefault="000B1ACD" w:rsidP="000B1ACD">
      <w:pPr>
        <w:pStyle w:val="a4"/>
        <w:spacing w:after="1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Академічна доброчесність.</w:t>
      </w:r>
      <w:r w:rsidRPr="009513CD">
        <w:rPr>
          <w:rFonts w:ascii="Times New Roman" w:hAnsi="Times New Roman" w:cs="Times New Roman"/>
          <w:sz w:val="24"/>
          <w:szCs w:val="24"/>
        </w:rPr>
        <w:t xml:space="preserve">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не доброчесності. Виявлення ознак академічної не доброчесності в письмовій роботі студента є підставою для її не зарахування викладачем, незалежно від масштабів плагіату чи обману. </w:t>
      </w:r>
    </w:p>
    <w:p w:rsidR="000B1ACD" w:rsidRPr="009513CD" w:rsidRDefault="000B1ACD" w:rsidP="000B1ACD">
      <w:pPr>
        <w:pStyle w:val="a4"/>
        <w:spacing w:after="1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Відвідання занять.</w:t>
      </w:r>
      <w:r w:rsidRPr="009513CD">
        <w:rPr>
          <w:rFonts w:ascii="Times New Roman" w:hAnsi="Times New Roman" w:cs="Times New Roman"/>
          <w:sz w:val="24"/>
          <w:szCs w:val="24"/>
        </w:rPr>
        <w:t xml:space="preserve"> Очікується, що всі студенти відвідають усі аудиторні заняття (лекції та семінари) курсу. Студенти мають інформувати викладача про неможливість відвідати заняття. Пропущенні заняття відпрацьовуються в індивідуальному порядку (в усній формі). У будь-якому випадку студенти зобов’язані дотримуватися термінів виконання усіх видів робіт, передбачених курсом. </w:t>
      </w:r>
    </w:p>
    <w:p w:rsidR="000B1ACD" w:rsidRPr="009513CD" w:rsidRDefault="000B1ACD" w:rsidP="000B1ACD">
      <w:pPr>
        <w:pStyle w:val="a4"/>
        <w:spacing w:after="1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Pr="009513CD">
        <w:rPr>
          <w:rFonts w:ascii="Times New Roman" w:hAnsi="Times New Roman" w:cs="Times New Roman"/>
          <w:sz w:val="24"/>
          <w:szCs w:val="24"/>
        </w:rPr>
        <w:t xml:space="preserve">. 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</w:r>
    </w:p>
    <w:p w:rsidR="00E26527" w:rsidRPr="009513CD" w:rsidRDefault="00E26527" w:rsidP="000B1ACD">
      <w:pPr>
        <w:pStyle w:val="a4"/>
        <w:spacing w:after="1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290" w:rsidRPr="009513CD" w:rsidRDefault="00BF2290" w:rsidP="00BF2290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Зміст навчальної дисципліни</w:t>
      </w:r>
    </w:p>
    <w:p w:rsidR="00BF2290" w:rsidRPr="009513CD" w:rsidRDefault="007C7504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BF2290" w:rsidRPr="009513CD">
        <w:rPr>
          <w:rFonts w:ascii="Times New Roman" w:hAnsi="Times New Roman" w:cs="Times New Roman"/>
          <w:sz w:val="24"/>
          <w:szCs w:val="24"/>
        </w:rPr>
        <w:t>Громадянське суспільство: сутність та ознаки життєздатності</w:t>
      </w:r>
      <w:r w:rsidRPr="009513CD">
        <w:rPr>
          <w:rFonts w:ascii="Times New Roman" w:hAnsi="Times New Roman" w:cs="Times New Roman"/>
          <w:sz w:val="24"/>
          <w:szCs w:val="24"/>
        </w:rPr>
        <w:t>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2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Історична евол</w:t>
      </w:r>
      <w:r w:rsidR="007C7504" w:rsidRPr="009513CD">
        <w:rPr>
          <w:rFonts w:ascii="Times New Roman" w:hAnsi="Times New Roman" w:cs="Times New Roman"/>
          <w:sz w:val="24"/>
          <w:szCs w:val="24"/>
        </w:rPr>
        <w:t>юція громадянського суспільства.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3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Моделі громадянського суспільства. Підходи до розум</w:t>
      </w:r>
      <w:r w:rsidR="007C7504" w:rsidRPr="009513CD">
        <w:rPr>
          <w:rFonts w:ascii="Times New Roman" w:hAnsi="Times New Roman" w:cs="Times New Roman"/>
          <w:sz w:val="24"/>
          <w:szCs w:val="24"/>
        </w:rPr>
        <w:t>іння громадянського суспільства.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4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Держава та громадянське суспіль</w:t>
      </w:r>
      <w:r w:rsidR="007C7504" w:rsidRPr="009513CD">
        <w:rPr>
          <w:rFonts w:ascii="Times New Roman" w:hAnsi="Times New Roman" w:cs="Times New Roman"/>
          <w:sz w:val="24"/>
          <w:szCs w:val="24"/>
        </w:rPr>
        <w:t>ство: діалектика взаємовідносин.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5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Державна політика підтримки розвитку інститутів  громадянс</w:t>
      </w:r>
      <w:r w:rsidR="007C7504" w:rsidRPr="009513CD">
        <w:rPr>
          <w:rFonts w:ascii="Times New Roman" w:hAnsi="Times New Roman" w:cs="Times New Roman"/>
          <w:sz w:val="24"/>
          <w:szCs w:val="24"/>
        </w:rPr>
        <w:t>ького суспільства в країнах ЦСЄ.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6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Загальне і особливе в становленні інститутів громадянського суспільства в країнах СНД, Балтії та ЦСЄ</w:t>
      </w:r>
      <w:r w:rsidR="007C7504" w:rsidRPr="009513CD">
        <w:rPr>
          <w:rFonts w:ascii="Times New Roman" w:hAnsi="Times New Roman" w:cs="Times New Roman"/>
          <w:sz w:val="24"/>
          <w:szCs w:val="24"/>
        </w:rPr>
        <w:t>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7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Формування громадянського суспільства в Україні: можливості та полі</w:t>
      </w:r>
      <w:r w:rsidR="007C7504" w:rsidRPr="009513CD">
        <w:rPr>
          <w:rFonts w:ascii="Times New Roman" w:hAnsi="Times New Roman" w:cs="Times New Roman"/>
          <w:sz w:val="24"/>
          <w:szCs w:val="24"/>
        </w:rPr>
        <w:t>тична реальність.</w:t>
      </w:r>
    </w:p>
    <w:p w:rsidR="00BF2290" w:rsidRPr="009513CD" w:rsidRDefault="00BF2290" w:rsidP="00BF2290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8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Інститути громадянського суспільства в Україні</w:t>
      </w:r>
      <w:r w:rsidR="007C7504" w:rsidRPr="009513CD">
        <w:rPr>
          <w:rFonts w:ascii="Times New Roman" w:hAnsi="Times New Roman" w:cs="Times New Roman"/>
          <w:sz w:val="24"/>
          <w:szCs w:val="24"/>
        </w:rPr>
        <w:t>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lastRenderedPageBreak/>
        <w:t>Тема 9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Роль громадських неурядових організацій та соціальних мереж у розви</w:t>
      </w:r>
      <w:r w:rsidR="007C7504" w:rsidRPr="009513CD">
        <w:rPr>
          <w:rFonts w:ascii="Times New Roman" w:hAnsi="Times New Roman" w:cs="Times New Roman"/>
          <w:sz w:val="24"/>
          <w:szCs w:val="24"/>
        </w:rPr>
        <w:t>тку громадянського суспільства.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10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 xml:space="preserve">Громадське </w:t>
      </w:r>
      <w:r w:rsidR="007C7504" w:rsidRPr="009513CD">
        <w:rPr>
          <w:rFonts w:ascii="Times New Roman" w:hAnsi="Times New Roman" w:cs="Times New Roman"/>
          <w:sz w:val="24"/>
          <w:szCs w:val="24"/>
        </w:rPr>
        <w:t>життя і теорія громад в Україні.</w:t>
      </w:r>
    </w:p>
    <w:p w:rsidR="00BF2290" w:rsidRPr="009513CD" w:rsidRDefault="00BF2290" w:rsidP="007C7504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11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Громадянське суспільство: сфера приватних інте</w:t>
      </w:r>
      <w:r w:rsidR="007C7504" w:rsidRPr="009513CD">
        <w:rPr>
          <w:rFonts w:ascii="Times New Roman" w:hAnsi="Times New Roman" w:cs="Times New Roman"/>
          <w:sz w:val="24"/>
          <w:szCs w:val="24"/>
        </w:rPr>
        <w:t>ресів та індивідуального вибору.</w:t>
      </w:r>
    </w:p>
    <w:p w:rsidR="00BF2290" w:rsidRPr="009513CD" w:rsidRDefault="00BF2290" w:rsidP="00BF2290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Тема 12</w:t>
      </w:r>
      <w:r w:rsidR="007C7504" w:rsidRPr="009513CD">
        <w:rPr>
          <w:rFonts w:ascii="Times New Roman" w:hAnsi="Times New Roman" w:cs="Times New Roman"/>
          <w:sz w:val="24"/>
          <w:szCs w:val="24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Проблеми існування громадянських суспільств в умовах глобалізованого світу</w:t>
      </w:r>
      <w:r w:rsidR="007C7504" w:rsidRPr="009513CD">
        <w:rPr>
          <w:rFonts w:ascii="Times New Roman" w:hAnsi="Times New Roman" w:cs="Times New Roman"/>
          <w:sz w:val="24"/>
          <w:szCs w:val="24"/>
        </w:rPr>
        <w:t>.</w:t>
      </w:r>
    </w:p>
    <w:p w:rsidR="00BF2290" w:rsidRPr="009513CD" w:rsidRDefault="00BF2290" w:rsidP="00BF2290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290" w:rsidRPr="009513CD" w:rsidRDefault="00BF2290" w:rsidP="00BF2290">
      <w:pPr>
        <w:pStyle w:val="a4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ACD" w:rsidRPr="009513CD" w:rsidRDefault="000B1ACD" w:rsidP="00ED2D18">
      <w:pPr>
        <w:pStyle w:val="a4"/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Система оцінювання та вимоги</w:t>
      </w:r>
    </w:p>
    <w:p w:rsidR="00ED2D18" w:rsidRPr="009513CD" w:rsidRDefault="00ED2D18" w:rsidP="001C08E6">
      <w:pPr>
        <w:pStyle w:val="a4"/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Види контролю: поточний, підсумковий.</w:t>
      </w:r>
    </w:p>
    <w:p w:rsidR="00ED2D18" w:rsidRPr="009513CD" w:rsidRDefault="00ED2D18" w:rsidP="001C08E6">
      <w:pPr>
        <w:pStyle w:val="a4"/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Методи контролю: спостереження за діяльністю студентів, усне опитування, письмовий контроль, тестовий контроль.</w:t>
      </w:r>
    </w:p>
    <w:p w:rsidR="00ED2D18" w:rsidRPr="009513CD" w:rsidRDefault="00ED2D18" w:rsidP="001C08E6">
      <w:pPr>
        <w:pStyle w:val="a4"/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Форма контролю: іспит</w:t>
      </w:r>
    </w:p>
    <w:p w:rsidR="00ED2D18" w:rsidRPr="009513CD" w:rsidRDefault="00ED2D18" w:rsidP="001C08E6">
      <w:pPr>
        <w:pStyle w:val="a4"/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Оцінювання навчальної роботи здійснюється за 100-бальною шкалою з переведенням підсумкової оцінки в національну шкалу і шкалу ЕCTS.</w:t>
      </w:r>
    </w:p>
    <w:p w:rsidR="00ED2D18" w:rsidRPr="009513CD" w:rsidRDefault="00ED2D18" w:rsidP="001C08E6">
      <w:pPr>
        <w:pStyle w:val="a4"/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Підсумкова оцінка курсу є сумою рейтингових оцінок одержані за окремі оцінювані форми навчальної діяльності: за семінарські заняття, МКР, ІНДЗ, самостійну роботу та іспит.</w:t>
      </w:r>
    </w:p>
    <w:p w:rsidR="00ED2D18" w:rsidRPr="009513CD" w:rsidRDefault="00ED2D18" w:rsidP="00F90990">
      <w:pPr>
        <w:pStyle w:val="a4"/>
        <w:spacing w:after="16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Оцінювання на семінарських заняттях здійснюється по 12-ті бальній системі за такими критеріями:</w:t>
      </w:r>
    </w:p>
    <w:tbl>
      <w:tblPr>
        <w:tblStyle w:val="a6"/>
        <w:tblW w:w="0" w:type="auto"/>
        <w:tblInd w:w="735" w:type="dxa"/>
        <w:tblLook w:val="04A0" w:firstRow="1" w:lastRow="0" w:firstColumn="1" w:lastColumn="0" w:noHBand="0" w:noVBand="1"/>
      </w:tblPr>
      <w:tblGrid>
        <w:gridCol w:w="2946"/>
        <w:gridCol w:w="3685"/>
        <w:gridCol w:w="2552"/>
        <w:gridCol w:w="1905"/>
        <w:gridCol w:w="2737"/>
      </w:tblGrid>
      <w:tr w:rsidR="00E26527" w:rsidRPr="009513CD" w:rsidTr="00E26527">
        <w:tc>
          <w:tcPr>
            <w:tcW w:w="2946" w:type="dxa"/>
          </w:tcPr>
          <w:p w:rsidR="00E26527" w:rsidRPr="009513CD" w:rsidRDefault="00E26527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3685" w:type="dxa"/>
          </w:tcPr>
          <w:p w:rsidR="00E26527" w:rsidRPr="009513CD" w:rsidRDefault="00E26527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2552" w:type="dxa"/>
          </w:tcPr>
          <w:p w:rsidR="00E26527" w:rsidRPr="009513CD" w:rsidRDefault="00E26527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E26527" w:rsidRPr="009513CD" w:rsidRDefault="00E26527" w:rsidP="00E26527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26527" w:rsidRPr="009513CD" w:rsidRDefault="00E26527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Підсумкова оцінка</w:t>
            </w:r>
          </w:p>
        </w:tc>
      </w:tr>
      <w:tr w:rsidR="00E26527" w:rsidRPr="009513CD" w:rsidTr="00E26527">
        <w:tc>
          <w:tcPr>
            <w:tcW w:w="2946" w:type="dxa"/>
          </w:tcPr>
          <w:p w:rsidR="00E26527" w:rsidRPr="009513CD" w:rsidRDefault="00ED2D18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6527" w:rsidRPr="009513CD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3685" w:type="dxa"/>
          </w:tcPr>
          <w:p w:rsidR="00E26527" w:rsidRPr="009513CD" w:rsidRDefault="00ED2D18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24 бали</w:t>
            </w:r>
          </w:p>
        </w:tc>
        <w:tc>
          <w:tcPr>
            <w:tcW w:w="2552" w:type="dxa"/>
          </w:tcPr>
          <w:p w:rsidR="00E26527" w:rsidRPr="009513CD" w:rsidRDefault="00E26527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10 балів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E26527" w:rsidRPr="009513CD" w:rsidRDefault="00E26527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40 балів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26527" w:rsidRPr="009513CD" w:rsidRDefault="00E26527" w:rsidP="001D12B9">
            <w:pPr>
              <w:pStyle w:val="a4"/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CD">
              <w:rPr>
                <w:rFonts w:ascii="Times New Roman" w:hAnsi="Times New Roman" w:cs="Times New Roman"/>
                <w:sz w:val="24"/>
                <w:szCs w:val="24"/>
              </w:rPr>
              <w:t>100 балів</w:t>
            </w:r>
          </w:p>
        </w:tc>
      </w:tr>
    </w:tbl>
    <w:p w:rsidR="000B1ACD" w:rsidRPr="009513CD" w:rsidRDefault="000B1ACD" w:rsidP="000B1ACD">
      <w:pPr>
        <w:pStyle w:val="a4"/>
        <w:spacing w:after="16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0B1ACD" w:rsidRPr="009513CD" w:rsidRDefault="000B1ACD" w:rsidP="000B1AC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При оцінюванні рівня знань студента аналізу підлягають: </w:t>
      </w:r>
    </w:p>
    <w:p w:rsidR="000B1ACD" w:rsidRPr="009513CD" w:rsidRDefault="000B1ACD" w:rsidP="000B1ACD">
      <w:pPr>
        <w:pStyle w:val="a5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характеристики відповіді: цілісність, повнота, логічність, обґрунтованість, правильність; </w:t>
      </w:r>
    </w:p>
    <w:p w:rsidR="000B1ACD" w:rsidRPr="009513CD" w:rsidRDefault="000B1ACD" w:rsidP="000B1ACD">
      <w:pPr>
        <w:pStyle w:val="a5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:rsidR="000B1ACD" w:rsidRPr="009513CD" w:rsidRDefault="000B1ACD" w:rsidP="000B1ACD">
      <w:pPr>
        <w:pStyle w:val="a5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ступінь сформованості уміння поєднувати теорію і практ</w:t>
      </w:r>
      <w:r w:rsidR="00FD08AD" w:rsidRPr="009513CD">
        <w:rPr>
          <w:rFonts w:ascii="Times New Roman" w:hAnsi="Times New Roman" w:cs="Times New Roman"/>
          <w:sz w:val="24"/>
          <w:szCs w:val="24"/>
        </w:rPr>
        <w:t>ику</w:t>
      </w:r>
      <w:r w:rsidRPr="009513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CD" w:rsidRPr="009513CD" w:rsidRDefault="000B1ACD" w:rsidP="000B1ACD">
      <w:pPr>
        <w:pStyle w:val="a5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</w:t>
      </w:r>
    </w:p>
    <w:p w:rsidR="000B1ACD" w:rsidRPr="009513CD" w:rsidRDefault="000B1ACD" w:rsidP="000B1ACD">
      <w:pPr>
        <w:pStyle w:val="a5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 xml:space="preserve">досвід творчої діяльності: уміння виявляти проблеми, розв’язувати їх, формувати гіпотези; </w:t>
      </w:r>
    </w:p>
    <w:p w:rsidR="000B1ACD" w:rsidRPr="009513CD" w:rsidRDefault="000B1ACD" w:rsidP="000B1ACD">
      <w:pPr>
        <w:pStyle w:val="a5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Internet тощо) .</w:t>
      </w:r>
    </w:p>
    <w:p w:rsidR="000B1ACD" w:rsidRPr="009513CD" w:rsidRDefault="000B1ACD" w:rsidP="000B1ACD">
      <w:pPr>
        <w:pStyle w:val="a5"/>
        <w:tabs>
          <w:tab w:val="left" w:pos="1134"/>
        </w:tabs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ACD" w:rsidRPr="009513CD" w:rsidRDefault="000B1ACD" w:rsidP="000B1AC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04" w:rsidRPr="009513CD" w:rsidRDefault="007C7504" w:rsidP="007C750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CD">
        <w:rPr>
          <w:rFonts w:ascii="Times New Roman" w:hAnsi="Times New Roman" w:cs="Times New Roman"/>
          <w:b/>
          <w:sz w:val="24"/>
          <w:szCs w:val="24"/>
        </w:rPr>
        <w:t>11.</w:t>
      </w:r>
      <w:r w:rsidRPr="009513CD">
        <w:rPr>
          <w:rFonts w:ascii="Times New Roman" w:hAnsi="Times New Roman" w:cs="Times New Roman"/>
          <w:b/>
          <w:sz w:val="24"/>
          <w:szCs w:val="24"/>
        </w:rPr>
        <w:tab/>
        <w:t>Рекомендована література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1.</w:t>
      </w:r>
      <w:r w:rsidRPr="009513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Бебик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В. Глобальне громадянське суспільство: теорія, методологія, менедж</w:t>
      </w:r>
      <w:r w:rsidR="002A1DCA">
        <w:rPr>
          <w:rFonts w:ascii="Times New Roman" w:hAnsi="Times New Roman" w:cs="Times New Roman"/>
          <w:sz w:val="24"/>
          <w:szCs w:val="24"/>
        </w:rPr>
        <w:t>мент… // Політичний менеджмент</w:t>
      </w:r>
      <w:r w:rsidR="002A1D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DCA">
        <w:rPr>
          <w:rFonts w:ascii="Times New Roman" w:hAnsi="Times New Roman" w:cs="Times New Roman"/>
          <w:sz w:val="24"/>
          <w:szCs w:val="24"/>
        </w:rPr>
        <w:t xml:space="preserve"> 2006</w:t>
      </w:r>
      <w:r w:rsidR="002A1DCA" w:rsidRPr="002A1DCA">
        <w:rPr>
          <w:rFonts w:ascii="Times New Roman" w:hAnsi="Times New Roman" w:cs="Times New Roman"/>
          <w:sz w:val="24"/>
          <w:szCs w:val="24"/>
        </w:rPr>
        <w:t>.</w:t>
      </w:r>
      <w:r w:rsidR="002A1DCA">
        <w:rPr>
          <w:rFonts w:ascii="Times New Roman" w:hAnsi="Times New Roman" w:cs="Times New Roman"/>
          <w:sz w:val="24"/>
          <w:szCs w:val="24"/>
        </w:rPr>
        <w:t xml:space="preserve"> №2(17)</w:t>
      </w:r>
      <w:r w:rsidR="002A1DCA" w:rsidRPr="002A1DCA">
        <w:rPr>
          <w:rFonts w:ascii="Times New Roman" w:hAnsi="Times New Roman" w:cs="Times New Roman"/>
          <w:sz w:val="24"/>
          <w:szCs w:val="24"/>
        </w:rPr>
        <w:t>.</w:t>
      </w:r>
      <w:r w:rsidRPr="009513CD">
        <w:rPr>
          <w:rFonts w:ascii="Times New Roman" w:hAnsi="Times New Roman" w:cs="Times New Roman"/>
          <w:sz w:val="24"/>
          <w:szCs w:val="24"/>
        </w:rPr>
        <w:t xml:space="preserve"> С. 140-147.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2.</w:t>
      </w:r>
      <w:r w:rsidRPr="009513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Габермас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Ю. Структурні перетворення у сфері відкритості: дослідження категорії громадянське суспільство / Пер. з ні</w:t>
      </w:r>
      <w:r w:rsidR="002A1DCA">
        <w:rPr>
          <w:rFonts w:ascii="Times New Roman" w:hAnsi="Times New Roman" w:cs="Times New Roman"/>
          <w:sz w:val="24"/>
          <w:szCs w:val="24"/>
        </w:rPr>
        <w:t>м. А.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Онишко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; [Ред. М.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].  [Львів: Літопис, 2000]</w:t>
      </w:r>
      <w:r w:rsidR="002A1D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513CD">
        <w:rPr>
          <w:rFonts w:ascii="Times New Roman" w:hAnsi="Times New Roman" w:cs="Times New Roman"/>
          <w:sz w:val="24"/>
          <w:szCs w:val="24"/>
        </w:rPr>
        <w:t xml:space="preserve"> 317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3.</w:t>
      </w:r>
      <w:r w:rsidRPr="009513CD">
        <w:rPr>
          <w:rFonts w:ascii="Times New Roman" w:hAnsi="Times New Roman" w:cs="Times New Roman"/>
          <w:sz w:val="24"/>
          <w:szCs w:val="24"/>
        </w:rPr>
        <w:tab/>
        <w:t xml:space="preserve">Громадські об’єднання в Україні : навчальний посібник / За ред. Б. М.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Бе</w:t>
      </w:r>
      <w:r w:rsidR="002A1DCA">
        <w:rPr>
          <w:rFonts w:ascii="Times New Roman" w:hAnsi="Times New Roman" w:cs="Times New Roman"/>
          <w:sz w:val="24"/>
          <w:szCs w:val="24"/>
        </w:rPr>
        <w:t>счасного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.  К. : Знання, 2007.</w:t>
      </w:r>
      <w:r w:rsidRPr="009513CD">
        <w:rPr>
          <w:rFonts w:ascii="Times New Roman" w:hAnsi="Times New Roman" w:cs="Times New Roman"/>
          <w:sz w:val="24"/>
          <w:szCs w:val="24"/>
        </w:rPr>
        <w:t xml:space="preserve"> 415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4.</w:t>
      </w:r>
      <w:r w:rsidRPr="009513CD">
        <w:rPr>
          <w:rFonts w:ascii="Times New Roman" w:hAnsi="Times New Roman" w:cs="Times New Roman"/>
          <w:sz w:val="24"/>
          <w:szCs w:val="24"/>
        </w:rPr>
        <w:tab/>
        <w:t>Громадянське суспільство в сучасній Україні: специфіка становлення, тенденції розвит</w:t>
      </w:r>
      <w:r w:rsidR="002A1DCA">
        <w:rPr>
          <w:rFonts w:ascii="Times New Roman" w:hAnsi="Times New Roman" w:cs="Times New Roman"/>
          <w:sz w:val="24"/>
          <w:szCs w:val="24"/>
        </w:rPr>
        <w:t xml:space="preserve">ку / За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 xml:space="preserve">. ред. Ф.М.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Рудича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.</w:t>
      </w:r>
      <w:r w:rsidRPr="009513CD">
        <w:rPr>
          <w:rFonts w:ascii="Times New Roman" w:hAnsi="Times New Roman" w:cs="Times New Roman"/>
          <w:sz w:val="24"/>
          <w:szCs w:val="24"/>
        </w:rPr>
        <w:t xml:space="preserve"> </w:t>
      </w:r>
      <w:r w:rsidR="002A1DCA">
        <w:rPr>
          <w:rFonts w:ascii="Times New Roman" w:hAnsi="Times New Roman" w:cs="Times New Roman"/>
          <w:sz w:val="24"/>
          <w:szCs w:val="24"/>
        </w:rPr>
        <w:t>К.: Парламентське вид-во, 2006</w:t>
      </w:r>
      <w:r w:rsidR="002A1D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513CD">
        <w:rPr>
          <w:rFonts w:ascii="Times New Roman" w:hAnsi="Times New Roman" w:cs="Times New Roman"/>
          <w:sz w:val="24"/>
          <w:szCs w:val="24"/>
        </w:rPr>
        <w:t xml:space="preserve"> 412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5.</w:t>
      </w:r>
      <w:r w:rsidRPr="009513CD">
        <w:rPr>
          <w:rFonts w:ascii="Times New Roman" w:hAnsi="Times New Roman" w:cs="Times New Roman"/>
          <w:sz w:val="24"/>
          <w:szCs w:val="24"/>
        </w:rPr>
        <w:tab/>
        <w:t xml:space="preserve">Громадянське суспільство: політичні та соціально-правові проблеми розвитку : монографія / Г. Ю. Васильєв, В. Д.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Воднік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Волянська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т</w:t>
      </w:r>
      <w:r w:rsidR="002A1DCA">
        <w:rPr>
          <w:rFonts w:ascii="Times New Roman" w:hAnsi="Times New Roman" w:cs="Times New Roman"/>
          <w:sz w:val="24"/>
          <w:szCs w:val="24"/>
        </w:rPr>
        <w:t xml:space="preserve">а ін. ; за ред. М. П.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Требіна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. Х. : Право, 2013.</w:t>
      </w:r>
      <w:r w:rsidRPr="009513CD">
        <w:rPr>
          <w:rFonts w:ascii="Times New Roman" w:hAnsi="Times New Roman" w:cs="Times New Roman"/>
          <w:sz w:val="24"/>
          <w:szCs w:val="24"/>
        </w:rPr>
        <w:t xml:space="preserve"> 536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6.</w:t>
      </w:r>
      <w:r w:rsidRPr="009513CD">
        <w:rPr>
          <w:rFonts w:ascii="Times New Roman" w:hAnsi="Times New Roman" w:cs="Times New Roman"/>
          <w:sz w:val="24"/>
          <w:szCs w:val="24"/>
        </w:rPr>
        <w:tab/>
        <w:t>Карась А. Філософія громадянського суспільства в класичних теоріях і некласичних інтерпретаціях: Моногр</w:t>
      </w:r>
      <w:r w:rsidR="002A1DCA">
        <w:rPr>
          <w:rFonts w:ascii="Times New Roman" w:hAnsi="Times New Roman" w:cs="Times New Roman"/>
          <w:sz w:val="24"/>
          <w:szCs w:val="24"/>
        </w:rPr>
        <w:t xml:space="preserve">афія. </w:t>
      </w:r>
      <w:r w:rsidRPr="009513CD">
        <w:rPr>
          <w:rFonts w:ascii="Times New Roman" w:hAnsi="Times New Roman" w:cs="Times New Roman"/>
          <w:sz w:val="24"/>
          <w:szCs w:val="24"/>
        </w:rPr>
        <w:t xml:space="preserve">Київ; Львів: Видавничий центр </w:t>
      </w:r>
      <w:r w:rsidR="002A1DCA">
        <w:rPr>
          <w:rFonts w:ascii="Times New Roman" w:hAnsi="Times New Roman" w:cs="Times New Roman"/>
          <w:sz w:val="24"/>
          <w:szCs w:val="24"/>
        </w:rPr>
        <w:t xml:space="preserve">ЛНУ імені Івана Франка, 2003. </w:t>
      </w:r>
      <w:r w:rsidRPr="009513CD">
        <w:rPr>
          <w:rFonts w:ascii="Times New Roman" w:hAnsi="Times New Roman" w:cs="Times New Roman"/>
          <w:sz w:val="24"/>
          <w:szCs w:val="24"/>
        </w:rPr>
        <w:t>520 c.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7.</w:t>
      </w:r>
      <w:r w:rsidRPr="009513CD">
        <w:rPr>
          <w:rFonts w:ascii="Times New Roman" w:hAnsi="Times New Roman" w:cs="Times New Roman"/>
          <w:sz w:val="24"/>
          <w:szCs w:val="24"/>
        </w:rPr>
        <w:tab/>
        <w:t>Кін Д. Громадянське суспільство: Старі образи, нове баченн</w:t>
      </w:r>
      <w:r w:rsidR="002A1DCA">
        <w:rPr>
          <w:rFonts w:ascii="Times New Roman" w:hAnsi="Times New Roman" w:cs="Times New Roman"/>
          <w:sz w:val="24"/>
          <w:szCs w:val="24"/>
        </w:rPr>
        <w:t>я / [Пер. з англ. О.Гриценко].</w:t>
      </w:r>
      <w:r w:rsidRPr="009513CD">
        <w:rPr>
          <w:rFonts w:ascii="Times New Roman" w:hAnsi="Times New Roman" w:cs="Times New Roman"/>
          <w:sz w:val="24"/>
          <w:szCs w:val="24"/>
        </w:rPr>
        <w:t xml:space="preserve"> К.: К.І.С. (Київ. Інформація. Сервіс):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Аналі</w:t>
      </w:r>
      <w:r w:rsidR="002A1DC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дослідн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. центр «АНОД», 2000</w:t>
      </w:r>
      <w:r w:rsidR="002A1D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513CD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8.</w:t>
      </w:r>
      <w:r w:rsidRPr="009513CD">
        <w:rPr>
          <w:rFonts w:ascii="Times New Roman" w:hAnsi="Times New Roman" w:cs="Times New Roman"/>
          <w:sz w:val="24"/>
          <w:szCs w:val="24"/>
        </w:rPr>
        <w:tab/>
        <w:t xml:space="preserve">Нікітін В.В. Ресурсний потенціал становлення громадянського суспільства в Україні / Нац. акад.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>. при Президентові України.</w:t>
      </w:r>
      <w:r w:rsidR="002A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Харк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 xml:space="preserve">. регіон. ін-т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. Х.: Магістр, 2006</w:t>
      </w:r>
      <w:r w:rsidR="002A1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513CD">
        <w:rPr>
          <w:rFonts w:ascii="Times New Roman" w:hAnsi="Times New Roman" w:cs="Times New Roman"/>
          <w:sz w:val="24"/>
          <w:szCs w:val="24"/>
        </w:rPr>
        <w:t>247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9.</w:t>
      </w:r>
      <w:r w:rsidRPr="009513CD">
        <w:rPr>
          <w:rFonts w:ascii="Times New Roman" w:hAnsi="Times New Roman" w:cs="Times New Roman"/>
          <w:sz w:val="24"/>
          <w:szCs w:val="24"/>
        </w:rPr>
        <w:tab/>
        <w:t xml:space="preserve">Основи демократії: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. посібник для студентів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>. закладів/ Авт. Колектив: М.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Безссонова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>, О.Бірюков, С.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Бондарук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та ін.; за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>. Ред.. А.Коло</w:t>
      </w:r>
      <w:r w:rsidR="002A1DCA">
        <w:rPr>
          <w:rFonts w:ascii="Times New Roman" w:hAnsi="Times New Roman" w:cs="Times New Roman"/>
          <w:sz w:val="24"/>
          <w:szCs w:val="24"/>
        </w:rPr>
        <w:t>дій</w:t>
      </w:r>
      <w:r w:rsidR="002A1D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DCA">
        <w:rPr>
          <w:rFonts w:ascii="Times New Roman" w:hAnsi="Times New Roman" w:cs="Times New Roman"/>
          <w:sz w:val="24"/>
          <w:szCs w:val="24"/>
        </w:rPr>
        <w:t xml:space="preserve"> К.: вид-во «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Ай-Бі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», 2002</w:t>
      </w:r>
      <w:r w:rsidR="002A1D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513CD">
        <w:rPr>
          <w:rFonts w:ascii="Times New Roman" w:hAnsi="Times New Roman" w:cs="Times New Roman"/>
          <w:sz w:val="24"/>
          <w:szCs w:val="24"/>
        </w:rPr>
        <w:t xml:space="preserve"> 684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10.</w:t>
      </w:r>
      <w:r w:rsidRPr="009513CD">
        <w:rPr>
          <w:rFonts w:ascii="Times New Roman" w:hAnsi="Times New Roman" w:cs="Times New Roman"/>
          <w:sz w:val="24"/>
          <w:szCs w:val="24"/>
        </w:rPr>
        <w:tab/>
        <w:t xml:space="preserve">Політична система та інститути громадянського суспільства в сучасній Україні : навчальний посібник / Ф. М.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Рудич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, Р. В. Балабан, Ю. С.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Ганжур</w:t>
      </w:r>
      <w:r w:rsidR="002A1D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 xml:space="preserve"> та ін.. К.: Либідь, 2008. </w:t>
      </w:r>
      <w:r w:rsidRPr="009513CD">
        <w:rPr>
          <w:rFonts w:ascii="Times New Roman" w:hAnsi="Times New Roman" w:cs="Times New Roman"/>
          <w:sz w:val="24"/>
          <w:szCs w:val="24"/>
        </w:rPr>
        <w:t>440 с.</w:t>
      </w:r>
    </w:p>
    <w:p w:rsidR="007C7504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11.</w:t>
      </w:r>
      <w:r w:rsidRPr="009513CD">
        <w:rPr>
          <w:rFonts w:ascii="Times New Roman" w:hAnsi="Times New Roman" w:cs="Times New Roman"/>
          <w:sz w:val="24"/>
          <w:szCs w:val="24"/>
        </w:rPr>
        <w:tab/>
        <w:t xml:space="preserve">Розвиток громадянського суспільства в Україні: минуле, сучасність, перспективи : [колективна монографія / за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>. ред. О. М.</w:t>
      </w:r>
      <w:r w:rsidR="002A1DCA">
        <w:rPr>
          <w:rFonts w:ascii="Times New Roman" w:hAnsi="Times New Roman" w:cs="Times New Roman"/>
          <w:sz w:val="24"/>
          <w:szCs w:val="24"/>
        </w:rPr>
        <w:t xml:space="preserve"> Руденко, С. В. </w:t>
      </w:r>
      <w:proofErr w:type="spellStart"/>
      <w:r w:rsidR="002A1DCA">
        <w:rPr>
          <w:rFonts w:ascii="Times New Roman" w:hAnsi="Times New Roman" w:cs="Times New Roman"/>
          <w:sz w:val="24"/>
          <w:szCs w:val="24"/>
        </w:rPr>
        <w:t>Штурхецького</w:t>
      </w:r>
      <w:proofErr w:type="spellEnd"/>
      <w:r w:rsidR="002A1DCA">
        <w:rPr>
          <w:rFonts w:ascii="Times New Roman" w:hAnsi="Times New Roman" w:cs="Times New Roman"/>
          <w:sz w:val="24"/>
          <w:szCs w:val="24"/>
        </w:rPr>
        <w:t>]. Острог : ІГСУ, Видавниц</w:t>
      </w:r>
      <w:r w:rsidRPr="009513CD">
        <w:rPr>
          <w:rFonts w:ascii="Times New Roman" w:hAnsi="Times New Roman" w:cs="Times New Roman"/>
          <w:sz w:val="24"/>
          <w:szCs w:val="24"/>
        </w:rPr>
        <w:t>тво Національного університе</w:t>
      </w:r>
      <w:r w:rsidR="002A1DCA">
        <w:rPr>
          <w:rFonts w:ascii="Times New Roman" w:hAnsi="Times New Roman" w:cs="Times New Roman"/>
          <w:sz w:val="24"/>
          <w:szCs w:val="24"/>
        </w:rPr>
        <w:t>ту «Острозька академія», 2014.</w:t>
      </w:r>
      <w:r w:rsidRPr="009513CD">
        <w:rPr>
          <w:rFonts w:ascii="Times New Roman" w:hAnsi="Times New Roman" w:cs="Times New Roman"/>
          <w:sz w:val="24"/>
          <w:szCs w:val="24"/>
        </w:rPr>
        <w:t xml:space="preserve"> 328 с.  </w:t>
      </w:r>
    </w:p>
    <w:p w:rsidR="000B1ACD" w:rsidRPr="009513CD" w:rsidRDefault="007C7504" w:rsidP="007C75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CD">
        <w:rPr>
          <w:rFonts w:ascii="Times New Roman" w:hAnsi="Times New Roman" w:cs="Times New Roman"/>
          <w:sz w:val="24"/>
          <w:szCs w:val="24"/>
        </w:rPr>
        <w:t>12.</w:t>
      </w:r>
      <w:r w:rsidRPr="009513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Цвих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Pr="009513CD">
        <w:rPr>
          <w:rFonts w:ascii="Times New Roman" w:hAnsi="Times New Roman" w:cs="Times New Roman"/>
          <w:sz w:val="24"/>
          <w:szCs w:val="24"/>
        </w:rPr>
        <w:t>Горбняк</w:t>
      </w:r>
      <w:proofErr w:type="spellEnd"/>
      <w:r w:rsidRPr="009513CD">
        <w:rPr>
          <w:rFonts w:ascii="Times New Roman" w:hAnsi="Times New Roman" w:cs="Times New Roman"/>
          <w:sz w:val="24"/>
          <w:szCs w:val="24"/>
        </w:rPr>
        <w:t xml:space="preserve"> О.В., Кобильник В.В. Громадянське суспільство: </w:t>
      </w:r>
      <w:r w:rsidR="002A1DCA">
        <w:rPr>
          <w:rFonts w:ascii="Times New Roman" w:hAnsi="Times New Roman" w:cs="Times New Roman"/>
          <w:sz w:val="24"/>
          <w:szCs w:val="24"/>
        </w:rPr>
        <w:t>навчально-методичний посібник.</w:t>
      </w:r>
      <w:r w:rsidRPr="009513CD">
        <w:rPr>
          <w:rFonts w:ascii="Times New Roman" w:hAnsi="Times New Roman" w:cs="Times New Roman"/>
          <w:sz w:val="24"/>
          <w:szCs w:val="24"/>
        </w:rPr>
        <w:t xml:space="preserve"> Кам’янець-Подільський: Кам’янець-Подільська міськ</w:t>
      </w:r>
      <w:r w:rsidR="002A1DCA">
        <w:rPr>
          <w:rFonts w:ascii="Times New Roman" w:hAnsi="Times New Roman" w:cs="Times New Roman"/>
          <w:sz w:val="24"/>
          <w:szCs w:val="24"/>
        </w:rPr>
        <w:t>а друкарня, 2009.</w:t>
      </w:r>
      <w:r w:rsidRPr="009513CD">
        <w:rPr>
          <w:rFonts w:ascii="Times New Roman" w:hAnsi="Times New Roman" w:cs="Times New Roman"/>
          <w:sz w:val="24"/>
          <w:szCs w:val="24"/>
        </w:rPr>
        <w:t xml:space="preserve"> 106с.</w:t>
      </w:r>
    </w:p>
    <w:p w:rsidR="000B1ACD" w:rsidRPr="009513CD" w:rsidRDefault="000B1ACD" w:rsidP="000B1AC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7F0" w:rsidRPr="009513CD" w:rsidRDefault="000527F0">
      <w:pPr>
        <w:rPr>
          <w:rFonts w:ascii="Times New Roman" w:hAnsi="Times New Roman" w:cs="Times New Roman"/>
          <w:sz w:val="24"/>
          <w:szCs w:val="24"/>
        </w:rPr>
      </w:pPr>
    </w:p>
    <w:sectPr w:rsidR="000527F0" w:rsidRPr="009513CD" w:rsidSect="000B1A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A34"/>
    <w:multiLevelType w:val="hybridMultilevel"/>
    <w:tmpl w:val="67522048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3D5D"/>
    <w:multiLevelType w:val="hybridMultilevel"/>
    <w:tmpl w:val="B8D41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77AC5"/>
    <w:multiLevelType w:val="hybridMultilevel"/>
    <w:tmpl w:val="412A7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91D1E35"/>
    <w:multiLevelType w:val="hybridMultilevel"/>
    <w:tmpl w:val="D2E66FE4"/>
    <w:lvl w:ilvl="0" w:tplc="585A04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B89058D"/>
    <w:multiLevelType w:val="hybridMultilevel"/>
    <w:tmpl w:val="20524E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32DC"/>
    <w:multiLevelType w:val="hybridMultilevel"/>
    <w:tmpl w:val="E1005F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A0340B"/>
    <w:multiLevelType w:val="hybridMultilevel"/>
    <w:tmpl w:val="631A635A"/>
    <w:lvl w:ilvl="0" w:tplc="444435B8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1C5"/>
    <w:multiLevelType w:val="hybridMultilevel"/>
    <w:tmpl w:val="318C2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B633F9"/>
    <w:multiLevelType w:val="hybridMultilevel"/>
    <w:tmpl w:val="2B60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60F3A"/>
    <w:multiLevelType w:val="hybridMultilevel"/>
    <w:tmpl w:val="E08AB802"/>
    <w:lvl w:ilvl="0" w:tplc="52B68274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5579"/>
        </w:tabs>
        <w:ind w:left="5579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6299"/>
        </w:tabs>
        <w:ind w:left="62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19"/>
        </w:tabs>
        <w:ind w:left="70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39"/>
        </w:tabs>
        <w:ind w:left="77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59"/>
        </w:tabs>
        <w:ind w:left="84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79"/>
        </w:tabs>
        <w:ind w:left="91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99"/>
        </w:tabs>
        <w:ind w:left="98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19"/>
        </w:tabs>
        <w:ind w:left="10619" w:hanging="180"/>
      </w:pPr>
    </w:lvl>
  </w:abstractNum>
  <w:abstractNum w:abstractNumId="11">
    <w:nsid w:val="6ED24406"/>
    <w:multiLevelType w:val="hybridMultilevel"/>
    <w:tmpl w:val="C6B23CFA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EFE"/>
    <w:rsid w:val="000527F0"/>
    <w:rsid w:val="000B1ACD"/>
    <w:rsid w:val="001C08E6"/>
    <w:rsid w:val="002A1DCA"/>
    <w:rsid w:val="00316A5C"/>
    <w:rsid w:val="00357A74"/>
    <w:rsid w:val="00381419"/>
    <w:rsid w:val="00396C13"/>
    <w:rsid w:val="00400BD8"/>
    <w:rsid w:val="0040265A"/>
    <w:rsid w:val="00427BA4"/>
    <w:rsid w:val="00466884"/>
    <w:rsid w:val="004B7B1C"/>
    <w:rsid w:val="00571F29"/>
    <w:rsid w:val="006236B9"/>
    <w:rsid w:val="007B7C94"/>
    <w:rsid w:val="007C7504"/>
    <w:rsid w:val="007D2DAC"/>
    <w:rsid w:val="009119B7"/>
    <w:rsid w:val="009513CD"/>
    <w:rsid w:val="00A70452"/>
    <w:rsid w:val="00AD3A82"/>
    <w:rsid w:val="00BB6E11"/>
    <w:rsid w:val="00BF2290"/>
    <w:rsid w:val="00C60EFE"/>
    <w:rsid w:val="00DC5366"/>
    <w:rsid w:val="00E26527"/>
    <w:rsid w:val="00ED2D18"/>
    <w:rsid w:val="00F90990"/>
    <w:rsid w:val="00FD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D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0B1AC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ACD"/>
    <w:rPr>
      <w:color w:val="0000FF"/>
      <w:u w:val="single"/>
    </w:rPr>
  </w:style>
  <w:style w:type="paragraph" w:customStyle="1" w:styleId="1">
    <w:name w:val="Звичайний1"/>
    <w:rsid w:val="000B1ACD"/>
    <w:pPr>
      <w:spacing w:after="0" w:line="276" w:lineRule="auto"/>
    </w:pPr>
    <w:rPr>
      <w:rFonts w:ascii="Arial" w:eastAsia="Arial" w:hAnsi="Arial" w:cs="Arial"/>
      <w:lang w:val="uk-UA" w:eastAsia="uk-UA"/>
    </w:rPr>
  </w:style>
  <w:style w:type="paragraph" w:styleId="a4">
    <w:name w:val="List Paragraph"/>
    <w:basedOn w:val="a"/>
    <w:uiPriority w:val="34"/>
    <w:qFormat/>
    <w:rsid w:val="000B1ACD"/>
    <w:pPr>
      <w:ind w:left="720"/>
      <w:contextualSpacing/>
    </w:pPr>
  </w:style>
  <w:style w:type="paragraph" w:styleId="a5">
    <w:name w:val="No Spacing"/>
    <w:uiPriority w:val="1"/>
    <w:qFormat/>
    <w:rsid w:val="000B1ACD"/>
    <w:pPr>
      <w:spacing w:after="0" w:line="240" w:lineRule="auto"/>
    </w:pPr>
    <w:rPr>
      <w:rFonts w:eastAsiaTheme="minorEastAsia"/>
      <w:lang w:val="uk-UA" w:eastAsia="uk-UA"/>
    </w:rPr>
  </w:style>
  <w:style w:type="table" w:styleId="a6">
    <w:name w:val="Table Grid"/>
    <w:basedOn w:val="a1"/>
    <w:uiPriority w:val="59"/>
    <w:rsid w:val="000B1AC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B1AC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0B1AC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AC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D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0B1AC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ACD"/>
    <w:rPr>
      <w:color w:val="0000FF"/>
      <w:u w:val="single"/>
    </w:rPr>
  </w:style>
  <w:style w:type="paragraph" w:customStyle="1" w:styleId="1">
    <w:name w:val="Звичайний1"/>
    <w:rsid w:val="000B1ACD"/>
    <w:pPr>
      <w:spacing w:after="0" w:line="276" w:lineRule="auto"/>
    </w:pPr>
    <w:rPr>
      <w:rFonts w:ascii="Arial" w:eastAsia="Arial" w:hAnsi="Arial" w:cs="Arial"/>
      <w:lang w:val="uk-UA" w:eastAsia="uk-UA"/>
    </w:rPr>
  </w:style>
  <w:style w:type="paragraph" w:styleId="a4">
    <w:name w:val="List Paragraph"/>
    <w:basedOn w:val="a"/>
    <w:uiPriority w:val="34"/>
    <w:qFormat/>
    <w:rsid w:val="000B1ACD"/>
    <w:pPr>
      <w:ind w:left="720"/>
      <w:contextualSpacing/>
    </w:pPr>
  </w:style>
  <w:style w:type="paragraph" w:styleId="a5">
    <w:name w:val="No Spacing"/>
    <w:uiPriority w:val="1"/>
    <w:qFormat/>
    <w:rsid w:val="000B1ACD"/>
    <w:pPr>
      <w:spacing w:after="0" w:line="240" w:lineRule="auto"/>
    </w:pPr>
    <w:rPr>
      <w:rFonts w:eastAsiaTheme="minorEastAsia"/>
      <w:lang w:val="uk-UA" w:eastAsia="uk-UA"/>
    </w:rPr>
  </w:style>
  <w:style w:type="table" w:styleId="a6">
    <w:name w:val="Table Grid"/>
    <w:basedOn w:val="a1"/>
    <w:uiPriority w:val="59"/>
    <w:rsid w:val="000B1ACD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B1AC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0B1AC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AC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odle.kpnu.edu.ua/course/view.php?id=1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215F-6B69-4EC9-8665-5BF33EA4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Ігнатьєва</dc:creator>
  <cp:keywords/>
  <dc:description/>
  <cp:lastModifiedBy>USER</cp:lastModifiedBy>
  <cp:revision>21</cp:revision>
  <dcterms:created xsi:type="dcterms:W3CDTF">2019-12-04T06:43:00Z</dcterms:created>
  <dcterms:modified xsi:type="dcterms:W3CDTF">2022-10-09T16:13:00Z</dcterms:modified>
</cp:coreProperties>
</file>