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C623F" w14:textId="77777777" w:rsidR="005E6286" w:rsidRPr="005E6286" w:rsidRDefault="005E6286" w:rsidP="005E6286">
      <w:pPr>
        <w:widowControl w:val="0"/>
        <w:pBdr>
          <w:top w:val="nil"/>
          <w:left w:val="nil"/>
          <w:bottom w:val="nil"/>
          <w:right w:val="nil"/>
          <w:between w:val="nil"/>
        </w:pBdr>
        <w:spacing w:line="276" w:lineRule="auto"/>
        <w:rPr>
          <w:rFonts w:eastAsia="Times New Roman" w:cs="Times New Roman"/>
          <w:color w:val="000000"/>
          <w:sz w:val="20"/>
          <w:szCs w:val="20"/>
          <w:lang w:val="uk-UA" w:eastAsia="uk-UA"/>
        </w:rPr>
      </w:pPr>
    </w:p>
    <w:tbl>
      <w:tblPr>
        <w:tblW w:w="9525" w:type="dxa"/>
        <w:tblInd w:w="-115" w:type="dxa"/>
        <w:tblLayout w:type="fixed"/>
        <w:tblLook w:val="0000" w:firstRow="0" w:lastRow="0" w:firstColumn="0" w:lastColumn="0" w:noHBand="0" w:noVBand="0"/>
      </w:tblPr>
      <w:tblGrid>
        <w:gridCol w:w="3260"/>
        <w:gridCol w:w="6265"/>
      </w:tblGrid>
      <w:tr w:rsidR="005E6286" w:rsidRPr="005E6286" w14:paraId="3CD95259" w14:textId="77777777" w:rsidTr="00090149">
        <w:trPr>
          <w:trHeight w:val="55"/>
        </w:trPr>
        <w:tc>
          <w:tcPr>
            <w:tcW w:w="3260" w:type="dxa"/>
            <w:tcBorders>
              <w:bottom w:val="single" w:sz="4" w:space="0" w:color="000000"/>
              <w:right w:val="single" w:sz="4" w:space="0" w:color="000000"/>
            </w:tcBorders>
            <w:shd w:val="clear" w:color="auto" w:fill="auto"/>
          </w:tcPr>
          <w:p w14:paraId="7D71CDB8" w14:textId="77777777" w:rsidR="005E6286" w:rsidRPr="005E6286" w:rsidRDefault="005E6286" w:rsidP="005E6286">
            <w:pPr>
              <w:spacing w:line="259" w:lineRule="auto"/>
              <w:jc w:val="center"/>
              <w:rPr>
                <w:rFonts w:eastAsia="Times New Roman" w:cs="Times New Roman"/>
                <w:b/>
                <w:sz w:val="20"/>
                <w:szCs w:val="20"/>
                <w:lang w:val="uk-UA" w:eastAsia="uk-UA"/>
              </w:rPr>
            </w:pPr>
            <w:r w:rsidRPr="005E6286">
              <w:rPr>
                <w:rFonts w:ascii="Calibri" w:eastAsia="Calibri" w:hAnsi="Calibri" w:cs="Calibri"/>
                <w:noProof/>
                <w:sz w:val="22"/>
                <w:lang w:eastAsia="ru-RU"/>
              </w:rPr>
              <w:drawing>
                <wp:inline distT="0" distB="0" distL="0" distR="0" wp14:anchorId="273F8A8C" wp14:editId="4BB2D91A">
                  <wp:extent cx="1495425" cy="2409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495425" cy="2409825"/>
                          </a:xfrm>
                          <a:prstGeom prst="rect">
                            <a:avLst/>
                          </a:prstGeom>
                        </pic:spPr>
                      </pic:pic>
                    </a:graphicData>
                  </a:graphic>
                </wp:inline>
              </w:drawing>
            </w:r>
          </w:p>
        </w:tc>
        <w:tc>
          <w:tcPr>
            <w:tcW w:w="62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E0CF3" w14:textId="77777777" w:rsidR="005E6286" w:rsidRPr="005E6286" w:rsidRDefault="005E6286" w:rsidP="005E6286">
            <w:pPr>
              <w:spacing w:line="259" w:lineRule="auto"/>
              <w:jc w:val="center"/>
              <w:rPr>
                <w:rFonts w:eastAsia="Times New Roman" w:cs="Times New Roman"/>
                <w:b/>
                <w:sz w:val="20"/>
                <w:szCs w:val="20"/>
                <w:lang w:val="uk-UA" w:eastAsia="uk-UA"/>
              </w:rPr>
            </w:pPr>
            <w:proofErr w:type="spellStart"/>
            <w:r w:rsidRPr="005E6286">
              <w:rPr>
                <w:rFonts w:eastAsia="Times New Roman" w:cs="Times New Roman"/>
                <w:b/>
                <w:sz w:val="20"/>
                <w:szCs w:val="20"/>
                <w:lang w:val="uk-UA" w:eastAsia="uk-UA"/>
              </w:rPr>
              <w:t>Силабус</w:t>
            </w:r>
            <w:proofErr w:type="spellEnd"/>
            <w:r w:rsidRPr="005E6286">
              <w:rPr>
                <w:rFonts w:eastAsia="Times New Roman" w:cs="Times New Roman"/>
                <w:b/>
                <w:sz w:val="20"/>
                <w:szCs w:val="20"/>
                <w:lang w:val="uk-UA" w:eastAsia="uk-UA"/>
              </w:rPr>
              <w:t xml:space="preserve"> освітнього компоненту</w:t>
            </w:r>
          </w:p>
          <w:p w14:paraId="7473788D" w14:textId="6935A3D9" w:rsidR="005E6286" w:rsidRPr="005E6286" w:rsidRDefault="00DF2DBD" w:rsidP="005E6286">
            <w:pPr>
              <w:jc w:val="center"/>
              <w:rPr>
                <w:rFonts w:eastAsia="Times New Roman" w:cs="Times New Roman"/>
                <w:b/>
                <w:smallCaps/>
                <w:sz w:val="20"/>
                <w:szCs w:val="20"/>
                <w:lang w:val="uk-UA" w:eastAsia="uk-UA"/>
              </w:rPr>
            </w:pPr>
            <w:r w:rsidRPr="005E6286">
              <w:rPr>
                <w:rFonts w:eastAsia="Times New Roman" w:cs="Times New Roman"/>
                <w:b/>
                <w:sz w:val="20"/>
                <w:szCs w:val="20"/>
                <w:lang w:val="uk-UA" w:eastAsia="uk-UA"/>
              </w:rPr>
              <w:t>«ГЕНДЕРНА ПОЛІТИКА</w:t>
            </w:r>
            <w:r>
              <w:rPr>
                <w:rFonts w:eastAsia="Times New Roman" w:cs="Times New Roman"/>
                <w:b/>
                <w:sz w:val="20"/>
                <w:szCs w:val="20"/>
                <w:lang w:val="uk-UA" w:eastAsia="uk-UA"/>
              </w:rPr>
              <w:t xml:space="preserve"> У СУЧАСНОМУ СВІТІ</w:t>
            </w:r>
            <w:r w:rsidRPr="005E6286">
              <w:rPr>
                <w:rFonts w:eastAsia="Times New Roman" w:cs="Times New Roman"/>
                <w:b/>
                <w:sz w:val="20"/>
                <w:szCs w:val="20"/>
                <w:lang w:val="uk-UA" w:eastAsia="uk-UA"/>
              </w:rPr>
              <w:t>»</w:t>
            </w:r>
          </w:p>
          <w:p w14:paraId="0CE4B4DC" w14:textId="77777777" w:rsidR="005E6286" w:rsidRPr="005E6286" w:rsidRDefault="005E6286" w:rsidP="005E6286">
            <w:pPr>
              <w:jc w:val="both"/>
              <w:rPr>
                <w:rFonts w:eastAsia="Times New Roman" w:cs="Times New Roman"/>
                <w:b/>
                <w:sz w:val="20"/>
                <w:szCs w:val="20"/>
                <w:lang w:val="uk-UA" w:eastAsia="uk-UA"/>
              </w:rPr>
            </w:pPr>
          </w:p>
          <w:p w14:paraId="3CFB044F" w14:textId="6FAD2C5C" w:rsidR="005E6286" w:rsidRPr="005E6286" w:rsidRDefault="005E6286" w:rsidP="005E6286">
            <w:pPr>
              <w:jc w:val="both"/>
              <w:rPr>
                <w:rFonts w:eastAsia="Times New Roman" w:cs="Times New Roman"/>
                <w:b/>
                <w:sz w:val="20"/>
                <w:szCs w:val="20"/>
                <w:lang w:val="uk-UA" w:eastAsia="uk-UA"/>
              </w:rPr>
            </w:pPr>
            <w:r w:rsidRPr="005E6286">
              <w:rPr>
                <w:rFonts w:eastAsia="Times New Roman" w:cs="Times New Roman"/>
                <w:b/>
                <w:sz w:val="20"/>
                <w:szCs w:val="20"/>
                <w:lang w:val="uk-UA" w:eastAsia="uk-UA"/>
              </w:rPr>
              <w:t xml:space="preserve">Галузь знань: </w:t>
            </w:r>
            <w:r w:rsidR="003D51D3">
              <w:rPr>
                <w:rFonts w:eastAsia="Times New Roman" w:cs="Times New Roman"/>
                <w:b/>
                <w:sz w:val="20"/>
                <w:szCs w:val="20"/>
                <w:lang w:val="uk-UA" w:eastAsia="uk-UA"/>
              </w:rPr>
              <w:t>всі галузі знань</w:t>
            </w:r>
          </w:p>
          <w:p w14:paraId="04E120DF" w14:textId="62BB6F61" w:rsidR="005E6286" w:rsidRPr="005E6286" w:rsidRDefault="005E6286" w:rsidP="005E6286">
            <w:pPr>
              <w:jc w:val="both"/>
              <w:rPr>
                <w:rFonts w:eastAsia="Times New Roman" w:cs="Times New Roman"/>
                <w:sz w:val="20"/>
                <w:szCs w:val="20"/>
                <w:lang w:val="uk-UA" w:eastAsia="uk-UA"/>
              </w:rPr>
            </w:pPr>
            <w:r w:rsidRPr="005E6286">
              <w:rPr>
                <w:rFonts w:eastAsia="Times New Roman" w:cs="Times New Roman"/>
                <w:b/>
                <w:sz w:val="20"/>
                <w:szCs w:val="20"/>
                <w:lang w:val="uk-UA" w:eastAsia="uk-UA"/>
              </w:rPr>
              <w:t>Спеціальність:</w:t>
            </w:r>
            <w:r w:rsidRPr="005E6286">
              <w:rPr>
                <w:rFonts w:eastAsia="Times New Roman" w:cs="Times New Roman"/>
                <w:sz w:val="20"/>
                <w:szCs w:val="20"/>
                <w:lang w:val="uk-UA" w:eastAsia="uk-UA"/>
              </w:rPr>
              <w:t xml:space="preserve"> </w:t>
            </w:r>
            <w:r w:rsidR="003D51D3">
              <w:rPr>
                <w:rFonts w:eastAsia="Times New Roman" w:cs="Times New Roman"/>
                <w:i/>
                <w:sz w:val="20"/>
                <w:szCs w:val="20"/>
                <w:lang w:val="uk-UA" w:eastAsia="uk-UA"/>
              </w:rPr>
              <w:t>всі спеціальності</w:t>
            </w:r>
          </w:p>
          <w:p w14:paraId="4BB6BA24" w14:textId="3C5C005D" w:rsidR="005E6286" w:rsidRPr="005E6286" w:rsidRDefault="005E6286" w:rsidP="005E6286">
            <w:pPr>
              <w:jc w:val="both"/>
              <w:rPr>
                <w:rFonts w:eastAsia="Times New Roman" w:cs="Times New Roman"/>
                <w:sz w:val="20"/>
                <w:szCs w:val="20"/>
                <w:lang w:val="uk-UA" w:eastAsia="uk-UA"/>
              </w:rPr>
            </w:pPr>
            <w:r w:rsidRPr="005E6286">
              <w:rPr>
                <w:rFonts w:eastAsia="Times New Roman" w:cs="Times New Roman"/>
                <w:b/>
                <w:sz w:val="20"/>
                <w:szCs w:val="20"/>
                <w:lang w:val="uk-UA" w:eastAsia="uk-UA"/>
              </w:rPr>
              <w:t xml:space="preserve">Освітня програма: </w:t>
            </w:r>
            <w:r w:rsidR="003D51D3">
              <w:rPr>
                <w:rFonts w:eastAsia="Times New Roman" w:cs="Times New Roman"/>
                <w:sz w:val="20"/>
                <w:szCs w:val="20"/>
                <w:lang w:val="uk-UA" w:eastAsia="uk-UA"/>
              </w:rPr>
              <w:t>усі освітні програми</w:t>
            </w:r>
          </w:p>
          <w:p w14:paraId="3C0FDA95" w14:textId="77777777" w:rsidR="005E6286" w:rsidRPr="005E6286" w:rsidRDefault="005E6286" w:rsidP="005E6286">
            <w:pPr>
              <w:jc w:val="both"/>
              <w:rPr>
                <w:rFonts w:eastAsia="Times New Roman" w:cs="Times New Roman"/>
                <w:sz w:val="20"/>
                <w:szCs w:val="20"/>
                <w:lang w:val="uk-UA" w:eastAsia="uk-UA"/>
              </w:rPr>
            </w:pPr>
            <w:r w:rsidRPr="005E6286">
              <w:rPr>
                <w:rFonts w:eastAsia="Times New Roman" w:cs="Times New Roman"/>
                <w:b/>
                <w:sz w:val="20"/>
                <w:szCs w:val="20"/>
                <w:lang w:val="uk-UA" w:eastAsia="uk-UA"/>
              </w:rPr>
              <w:t>Рівень вищої освіти:</w:t>
            </w:r>
            <w:r w:rsidRPr="005E6286">
              <w:rPr>
                <w:rFonts w:eastAsia="Times New Roman" w:cs="Times New Roman"/>
                <w:sz w:val="20"/>
                <w:szCs w:val="20"/>
                <w:lang w:val="uk-UA" w:eastAsia="uk-UA"/>
              </w:rPr>
              <w:t xml:space="preserve"> другий (магістерський)</w:t>
            </w:r>
          </w:p>
          <w:p w14:paraId="4741685C" w14:textId="0F6BDB7A" w:rsidR="005E6286" w:rsidRPr="005E6286" w:rsidRDefault="005E6286" w:rsidP="005E6286">
            <w:pPr>
              <w:spacing w:line="259" w:lineRule="auto"/>
              <w:jc w:val="both"/>
              <w:rPr>
                <w:rFonts w:eastAsia="Times New Roman" w:cs="Times New Roman"/>
                <w:sz w:val="20"/>
                <w:szCs w:val="20"/>
                <w:lang w:val="uk-UA" w:eastAsia="uk-UA"/>
              </w:rPr>
            </w:pPr>
            <w:r w:rsidRPr="005E6286">
              <w:rPr>
                <w:rFonts w:eastAsia="Times New Roman" w:cs="Times New Roman"/>
                <w:b/>
                <w:sz w:val="20"/>
                <w:szCs w:val="20"/>
                <w:lang w:val="uk-UA" w:eastAsia="uk-UA"/>
              </w:rPr>
              <w:t>Рік навчання: 202</w:t>
            </w:r>
            <w:r w:rsidR="00EF7572">
              <w:rPr>
                <w:rFonts w:eastAsia="Times New Roman" w:cs="Times New Roman"/>
                <w:b/>
                <w:sz w:val="20"/>
                <w:szCs w:val="20"/>
                <w:lang w:val="uk-UA" w:eastAsia="uk-UA"/>
              </w:rPr>
              <w:t>5</w:t>
            </w:r>
            <w:r w:rsidRPr="005E6286">
              <w:rPr>
                <w:rFonts w:eastAsia="Times New Roman" w:cs="Times New Roman"/>
                <w:b/>
                <w:sz w:val="20"/>
                <w:szCs w:val="20"/>
                <w:lang w:val="uk-UA" w:eastAsia="uk-UA"/>
              </w:rPr>
              <w:t>-202</w:t>
            </w:r>
            <w:r w:rsidR="00EF7572">
              <w:rPr>
                <w:rFonts w:eastAsia="Times New Roman" w:cs="Times New Roman"/>
                <w:b/>
                <w:sz w:val="20"/>
                <w:szCs w:val="20"/>
                <w:lang w:val="uk-UA" w:eastAsia="uk-UA"/>
              </w:rPr>
              <w:t>6</w:t>
            </w:r>
          </w:p>
          <w:p w14:paraId="334D7048" w14:textId="5F96AD58"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Семестр:</w:t>
            </w:r>
            <w:r w:rsidRPr="005E6286">
              <w:rPr>
                <w:rFonts w:eastAsia="Times New Roman" w:cs="Times New Roman"/>
                <w:sz w:val="20"/>
                <w:szCs w:val="20"/>
                <w:lang w:val="uk-UA" w:eastAsia="uk-UA"/>
              </w:rPr>
              <w:t xml:space="preserve"> </w:t>
            </w:r>
            <w:r w:rsidR="003D51D3">
              <w:rPr>
                <w:rFonts w:eastAsia="Times New Roman" w:cs="Times New Roman"/>
                <w:sz w:val="20"/>
                <w:szCs w:val="20"/>
                <w:lang w:val="uk-UA" w:eastAsia="uk-UA"/>
              </w:rPr>
              <w:t>ІІ</w:t>
            </w:r>
          </w:p>
        </w:tc>
      </w:tr>
      <w:tr w:rsidR="005E6286" w:rsidRPr="005E6286" w14:paraId="36A93332"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8F227"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Структурний підрозділ</w:t>
            </w:r>
          </w:p>
        </w:tc>
        <w:tc>
          <w:tcPr>
            <w:tcW w:w="6265" w:type="dxa"/>
            <w:tcBorders>
              <w:top w:val="single" w:sz="4" w:space="0" w:color="000000"/>
              <w:left w:val="single" w:sz="4" w:space="0" w:color="000000"/>
              <w:bottom w:val="single" w:sz="4" w:space="0" w:color="000000"/>
              <w:right w:val="single" w:sz="4" w:space="0" w:color="000000"/>
            </w:tcBorders>
            <w:shd w:val="clear" w:color="auto" w:fill="auto"/>
          </w:tcPr>
          <w:p w14:paraId="3BAEA97F" w14:textId="77777777" w:rsidR="005E6286" w:rsidRPr="005E6286" w:rsidRDefault="005E6286" w:rsidP="005E6286">
            <w:pPr>
              <w:spacing w:line="259" w:lineRule="auto"/>
              <w:jc w:val="both"/>
              <w:rPr>
                <w:rFonts w:eastAsia="Times New Roman" w:cs="Times New Roman"/>
                <w:sz w:val="20"/>
                <w:szCs w:val="20"/>
                <w:lang w:val="uk-UA" w:eastAsia="uk-UA"/>
              </w:rPr>
            </w:pPr>
            <w:r w:rsidRPr="005E6286">
              <w:rPr>
                <w:rFonts w:eastAsia="Times New Roman" w:cs="Times New Roman"/>
                <w:sz w:val="20"/>
                <w:szCs w:val="20"/>
                <w:lang w:val="uk-UA" w:eastAsia="uk-UA"/>
              </w:rPr>
              <w:t>Кафедра політології та філософії,  історичний факультет</w:t>
            </w:r>
          </w:p>
        </w:tc>
      </w:tr>
      <w:tr w:rsidR="005E6286" w:rsidRPr="005E6286" w14:paraId="19DFE858"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41DD8A3"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Викладач:</w:t>
            </w:r>
          </w:p>
          <w:p w14:paraId="580CA607" w14:textId="77777777" w:rsidR="005E6286" w:rsidRPr="005E6286" w:rsidRDefault="005E6286" w:rsidP="005E6286">
            <w:pPr>
              <w:spacing w:line="259" w:lineRule="auto"/>
              <w:rPr>
                <w:rFonts w:eastAsia="Times New Roman" w:cs="Times New Roman"/>
                <w:sz w:val="20"/>
                <w:szCs w:val="20"/>
                <w:lang w:val="uk-UA" w:eastAsia="uk-UA"/>
              </w:rPr>
            </w:pPr>
          </w:p>
        </w:tc>
        <w:tc>
          <w:tcPr>
            <w:tcW w:w="6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A38F3" w14:textId="77777777" w:rsidR="005E6286" w:rsidRPr="005E6286" w:rsidRDefault="005E6286" w:rsidP="005E6286">
            <w:pPr>
              <w:suppressAutoHyphens/>
              <w:rPr>
                <w:rFonts w:eastAsia="Calibri" w:cs="Times New Roman"/>
                <w:kern w:val="1"/>
                <w:sz w:val="22"/>
                <w:lang w:val="uk-UA" w:eastAsia="hi-IN" w:bidi="hi-IN"/>
              </w:rPr>
            </w:pPr>
            <w:r w:rsidRPr="005E6286">
              <w:rPr>
                <w:rFonts w:eastAsia="Calibri" w:cs="Times New Roman"/>
                <w:b/>
                <w:kern w:val="1"/>
                <w:sz w:val="22"/>
                <w:lang w:val="uk-UA" w:eastAsia="hi-IN" w:bidi="hi-IN"/>
              </w:rPr>
              <w:t xml:space="preserve">ПІБ: </w:t>
            </w:r>
            <w:r w:rsidRPr="005E6286">
              <w:rPr>
                <w:rFonts w:eastAsia="Calibri" w:cs="Times New Roman"/>
                <w:kern w:val="1"/>
                <w:sz w:val="22"/>
                <w:lang w:val="uk-UA" w:eastAsia="hi-IN" w:bidi="hi-IN"/>
              </w:rPr>
              <w:t>Плахтій Маріанна Петрівна</w:t>
            </w:r>
          </w:p>
          <w:p w14:paraId="5277BD62" w14:textId="77777777" w:rsidR="005E6286" w:rsidRPr="005E6286" w:rsidRDefault="005E6286" w:rsidP="005E6286">
            <w:pPr>
              <w:suppressAutoHyphens/>
              <w:rPr>
                <w:rFonts w:eastAsia="Calibri" w:cs="Times New Roman"/>
                <w:kern w:val="1"/>
                <w:sz w:val="22"/>
                <w:lang w:val="uk-UA" w:eastAsia="hi-IN" w:bidi="hi-IN"/>
              </w:rPr>
            </w:pPr>
            <w:r w:rsidRPr="005E6286">
              <w:rPr>
                <w:rFonts w:eastAsia="Calibri" w:cs="Times New Roman"/>
                <w:b/>
                <w:kern w:val="1"/>
                <w:sz w:val="22"/>
                <w:lang w:val="uk-UA" w:eastAsia="hi-IN" w:bidi="hi-IN"/>
              </w:rPr>
              <w:t xml:space="preserve">Посада: </w:t>
            </w:r>
            <w:r w:rsidRPr="005E6286">
              <w:rPr>
                <w:rFonts w:eastAsia="Calibri" w:cs="Times New Roman"/>
                <w:kern w:val="1"/>
                <w:sz w:val="22"/>
                <w:lang w:val="uk-UA" w:eastAsia="hi-IN" w:bidi="hi-IN"/>
              </w:rPr>
              <w:t xml:space="preserve">доцент кафедри </w:t>
            </w:r>
            <w:r w:rsidRPr="005E6286">
              <w:rPr>
                <w:rFonts w:eastAsia="Calibri" w:cs="Times New Roman"/>
                <w:bCs/>
                <w:iCs/>
                <w:kern w:val="1"/>
                <w:sz w:val="22"/>
                <w:lang w:val="uk-UA" w:eastAsia="hi-IN" w:bidi="hi-IN"/>
              </w:rPr>
              <w:t>політології та філософії</w:t>
            </w:r>
          </w:p>
          <w:p w14:paraId="56A94339" w14:textId="77777777" w:rsidR="005E6286" w:rsidRPr="005E6286" w:rsidRDefault="005E6286" w:rsidP="005E6286">
            <w:pPr>
              <w:suppressAutoHyphens/>
              <w:rPr>
                <w:rFonts w:eastAsia="Calibri" w:cs="Times New Roman"/>
                <w:kern w:val="1"/>
                <w:sz w:val="22"/>
                <w:lang w:val="uk-UA" w:eastAsia="hi-IN" w:bidi="hi-IN"/>
              </w:rPr>
            </w:pPr>
            <w:r w:rsidRPr="005E6286">
              <w:rPr>
                <w:rFonts w:eastAsia="Calibri" w:cs="Times New Roman"/>
                <w:b/>
                <w:kern w:val="1"/>
                <w:sz w:val="22"/>
                <w:lang w:val="uk-UA" w:eastAsia="hi-IN" w:bidi="hi-IN"/>
              </w:rPr>
              <w:t xml:space="preserve">Вчений ступінь: </w:t>
            </w:r>
            <w:r w:rsidRPr="005E6286">
              <w:rPr>
                <w:rFonts w:eastAsia="Calibri" w:cs="Times New Roman"/>
                <w:kern w:val="1"/>
                <w:sz w:val="22"/>
                <w:lang w:val="uk-UA" w:eastAsia="hi-IN" w:bidi="hi-IN"/>
              </w:rPr>
              <w:t>кандидат філософських наук</w:t>
            </w:r>
          </w:p>
          <w:p w14:paraId="3684CDC1" w14:textId="77777777" w:rsidR="005E6286" w:rsidRPr="005E6286" w:rsidRDefault="005E6286" w:rsidP="005E6286">
            <w:pPr>
              <w:suppressAutoHyphens/>
              <w:jc w:val="both"/>
              <w:rPr>
                <w:rFonts w:ascii="Roboto" w:eastAsia="Calibri" w:hAnsi="Roboto" w:cs="Calibri"/>
                <w:color w:val="444746"/>
                <w:spacing w:val="2"/>
                <w:sz w:val="22"/>
                <w:shd w:val="clear" w:color="auto" w:fill="FFFFFF"/>
                <w:lang w:val="uk-UA" w:eastAsia="uk-UA"/>
              </w:rPr>
            </w:pPr>
            <w:r w:rsidRPr="005E6286">
              <w:rPr>
                <w:rFonts w:eastAsia="Calibri" w:cs="Times New Roman"/>
                <w:b/>
                <w:kern w:val="1"/>
                <w:sz w:val="22"/>
                <w:lang w:val="uk-UA" w:eastAsia="hi-IN" w:bidi="hi-IN"/>
              </w:rPr>
              <w:t>E-</w:t>
            </w:r>
            <w:proofErr w:type="spellStart"/>
            <w:r w:rsidRPr="005E6286">
              <w:rPr>
                <w:rFonts w:eastAsia="Calibri" w:cs="Times New Roman"/>
                <w:b/>
                <w:kern w:val="1"/>
                <w:sz w:val="22"/>
                <w:lang w:val="uk-UA" w:eastAsia="hi-IN" w:bidi="hi-IN"/>
              </w:rPr>
              <w:t>mail</w:t>
            </w:r>
            <w:proofErr w:type="spellEnd"/>
            <w:r w:rsidRPr="005E6286">
              <w:rPr>
                <w:rFonts w:eastAsia="Calibri" w:cs="Times New Roman"/>
                <w:b/>
                <w:kern w:val="1"/>
                <w:sz w:val="22"/>
                <w:lang w:val="uk-UA" w:eastAsia="hi-IN" w:bidi="hi-IN"/>
              </w:rPr>
              <w:t>:</w:t>
            </w:r>
            <w:r w:rsidRPr="005E6286">
              <w:rPr>
                <w:rFonts w:eastAsia="Times New Roman" w:cs="Times New Roman"/>
                <w:sz w:val="22"/>
                <w:shd w:val="clear" w:color="auto" w:fill="FFFFFF"/>
                <w:lang w:val="pl-PL" w:eastAsia="pl-PL"/>
              </w:rPr>
              <w:t xml:space="preserve"> </w:t>
            </w:r>
            <w:hyperlink r:id="rId8" w:history="1">
              <w:r w:rsidRPr="005E6286">
                <w:rPr>
                  <w:rFonts w:eastAsia="Calibri" w:cs="Times New Roman"/>
                  <w:szCs w:val="24"/>
                  <w:lang w:val="uk-UA" w:eastAsia="uk-UA"/>
                </w:rPr>
                <w:t>marianna.plakhtiy@kpnu.edu.ua</w:t>
              </w:r>
            </w:hyperlink>
            <w:r w:rsidRPr="005E6286">
              <w:rPr>
                <w:rFonts w:ascii="Calibri" w:eastAsia="Calibri" w:hAnsi="Calibri" w:cs="Calibri"/>
                <w:sz w:val="22"/>
                <w:lang w:val="uk-UA" w:eastAsia="uk-UA"/>
              </w:rPr>
              <w:t xml:space="preserve"> </w:t>
            </w:r>
          </w:p>
          <w:p w14:paraId="1FD63C1B" w14:textId="77777777" w:rsidR="005E6286" w:rsidRPr="005E6286" w:rsidRDefault="005E6286" w:rsidP="005E6286">
            <w:pPr>
              <w:suppressAutoHyphens/>
              <w:jc w:val="both"/>
              <w:rPr>
                <w:rFonts w:eastAsia="Calibri" w:cs="Times New Roman"/>
                <w:b/>
                <w:kern w:val="1"/>
                <w:sz w:val="22"/>
                <w:lang w:val="uk-UA" w:eastAsia="hi-IN" w:bidi="hi-IN"/>
              </w:rPr>
            </w:pPr>
            <w:r w:rsidRPr="005E6286">
              <w:rPr>
                <w:rFonts w:eastAsia="Calibri" w:cs="Times New Roman"/>
                <w:b/>
                <w:kern w:val="1"/>
                <w:sz w:val="22"/>
                <w:lang w:val="uk-UA" w:eastAsia="hi-IN" w:bidi="hi-IN"/>
              </w:rPr>
              <w:t xml:space="preserve">Робоче місце: </w:t>
            </w:r>
            <w:r w:rsidRPr="005E6286">
              <w:rPr>
                <w:rFonts w:eastAsia="Calibri" w:cs="Times New Roman"/>
                <w:kern w:val="1"/>
                <w:sz w:val="22"/>
                <w:lang w:val="uk-UA" w:eastAsia="hi-IN" w:bidi="hi-IN"/>
              </w:rPr>
              <w:t xml:space="preserve">навчальний корпус №2 (вул. Татарська, 14), кафедра </w:t>
            </w:r>
            <w:r w:rsidRPr="005E6286">
              <w:rPr>
                <w:rFonts w:eastAsia="Calibri" w:cs="Times New Roman"/>
                <w:bCs/>
                <w:iCs/>
                <w:kern w:val="1"/>
                <w:sz w:val="22"/>
                <w:lang w:val="uk-UA" w:eastAsia="hi-IN" w:bidi="hi-IN"/>
              </w:rPr>
              <w:t>політології та філософії</w:t>
            </w:r>
            <w:r w:rsidRPr="005E6286">
              <w:rPr>
                <w:rFonts w:eastAsia="Calibri" w:cs="Times New Roman"/>
                <w:kern w:val="1"/>
                <w:sz w:val="22"/>
                <w:lang w:val="uk-UA" w:eastAsia="hi-IN" w:bidi="hi-IN"/>
              </w:rPr>
              <w:t>.</w:t>
            </w:r>
            <w:r w:rsidRPr="005E6286">
              <w:rPr>
                <w:rFonts w:eastAsia="Calibri" w:cs="Times New Roman"/>
                <w:b/>
                <w:kern w:val="1"/>
                <w:sz w:val="22"/>
                <w:lang w:val="uk-UA" w:eastAsia="hi-IN" w:bidi="hi-IN"/>
              </w:rPr>
              <w:t xml:space="preserve"> </w:t>
            </w:r>
          </w:p>
          <w:p w14:paraId="78CCAD39" w14:textId="77777777" w:rsidR="005E6286" w:rsidRPr="005E6286" w:rsidRDefault="005E6286" w:rsidP="005E6286">
            <w:pPr>
              <w:suppressAutoHyphens/>
              <w:rPr>
                <w:rFonts w:eastAsia="Calibri" w:cs="Times New Roman"/>
                <w:b/>
                <w:kern w:val="1"/>
                <w:sz w:val="22"/>
                <w:lang w:val="uk-UA" w:eastAsia="hi-IN" w:bidi="hi-IN"/>
              </w:rPr>
            </w:pPr>
            <w:proofErr w:type="spellStart"/>
            <w:r w:rsidRPr="005E6286">
              <w:rPr>
                <w:rFonts w:eastAsia="Calibri" w:cs="Times New Roman"/>
                <w:b/>
                <w:kern w:val="1"/>
                <w:sz w:val="22"/>
                <w:lang w:val="uk-UA" w:eastAsia="hi-IN" w:bidi="hi-IN"/>
              </w:rPr>
              <w:t>Профайл</w:t>
            </w:r>
            <w:proofErr w:type="spellEnd"/>
            <w:r w:rsidRPr="005E6286">
              <w:rPr>
                <w:rFonts w:eastAsia="Calibri" w:cs="Times New Roman"/>
                <w:b/>
                <w:kern w:val="1"/>
                <w:sz w:val="22"/>
                <w:lang w:val="uk-UA" w:eastAsia="hi-IN" w:bidi="hi-IN"/>
              </w:rPr>
              <w:t xml:space="preserve"> викладача: </w:t>
            </w:r>
          </w:p>
          <w:p w14:paraId="5F1E669B" w14:textId="77777777" w:rsidR="005E6286" w:rsidRPr="005E6286" w:rsidRDefault="00944F86" w:rsidP="005E6286">
            <w:pPr>
              <w:suppressAutoHyphens/>
              <w:rPr>
                <w:rFonts w:eastAsia="Calibri" w:cs="Times New Roman"/>
                <w:color w:val="000000"/>
                <w:sz w:val="22"/>
                <w:lang w:val="uk-UA" w:eastAsia="uk-UA"/>
              </w:rPr>
            </w:pPr>
            <w:hyperlink r:id="rId9" w:history="1">
              <w:r w:rsidR="005E6286" w:rsidRPr="005E6286">
                <w:rPr>
                  <w:rFonts w:eastAsia="Times New Roman" w:cs="Times New Roman"/>
                  <w:color w:val="0000FF"/>
                  <w:szCs w:val="24"/>
                  <w:u w:val="single"/>
                  <w:lang w:val="uk-UA" w:eastAsia="uk-UA"/>
                </w:rPr>
                <w:t>http://politkaf.kpnu.edu.ua/plakhtij-marianna-petrivna/</w:t>
              </w:r>
            </w:hyperlink>
          </w:p>
          <w:p w14:paraId="2C532EBD" w14:textId="77777777" w:rsidR="005E6286" w:rsidRPr="005E6286" w:rsidRDefault="00944F86" w:rsidP="005E6286">
            <w:pPr>
              <w:rPr>
                <w:rFonts w:eastAsia="Calibri" w:cs="Times New Roman"/>
                <w:color w:val="000000"/>
                <w:sz w:val="22"/>
                <w:lang w:val="uk-UA" w:eastAsia="uk-UA"/>
              </w:rPr>
            </w:pPr>
            <w:hyperlink r:id="rId10" w:history="1">
              <w:r w:rsidR="005E6286" w:rsidRPr="005E6286">
                <w:rPr>
                  <w:rFonts w:eastAsia="Calibri" w:cs="Times New Roman"/>
                  <w:color w:val="0000FF"/>
                  <w:sz w:val="22"/>
                  <w:u w:val="single"/>
                  <w:lang w:val="en-US" w:eastAsia="uk-UA"/>
                </w:rPr>
                <w:t>https</w:t>
              </w:r>
              <w:r w:rsidR="005E6286" w:rsidRPr="005E6286">
                <w:rPr>
                  <w:rFonts w:eastAsia="Calibri" w:cs="Times New Roman"/>
                  <w:color w:val="0000FF"/>
                  <w:sz w:val="22"/>
                  <w:u w:val="single"/>
                  <w:lang w:val="uk-UA" w:eastAsia="uk-UA"/>
                </w:rPr>
                <w:t>://</w:t>
              </w:r>
              <w:r w:rsidR="005E6286" w:rsidRPr="005E6286">
                <w:rPr>
                  <w:rFonts w:eastAsia="Calibri" w:cs="Times New Roman"/>
                  <w:color w:val="0000FF"/>
                  <w:sz w:val="22"/>
                  <w:u w:val="single"/>
                  <w:lang w:val="en-US" w:eastAsia="uk-UA"/>
                </w:rPr>
                <w:t>scholar</w:t>
              </w:r>
              <w:r w:rsidR="005E6286" w:rsidRPr="005E6286">
                <w:rPr>
                  <w:rFonts w:eastAsia="Calibri" w:cs="Times New Roman"/>
                  <w:color w:val="0000FF"/>
                  <w:sz w:val="22"/>
                  <w:u w:val="single"/>
                  <w:lang w:val="uk-UA" w:eastAsia="uk-UA"/>
                </w:rPr>
                <w:t>.</w:t>
              </w:r>
              <w:r w:rsidR="005E6286" w:rsidRPr="005E6286">
                <w:rPr>
                  <w:rFonts w:eastAsia="Calibri" w:cs="Times New Roman"/>
                  <w:color w:val="0000FF"/>
                  <w:sz w:val="22"/>
                  <w:u w:val="single"/>
                  <w:lang w:val="en-US" w:eastAsia="uk-UA"/>
                </w:rPr>
                <w:t>google</w:t>
              </w:r>
              <w:r w:rsidR="005E6286" w:rsidRPr="005E6286">
                <w:rPr>
                  <w:rFonts w:eastAsia="Calibri" w:cs="Times New Roman"/>
                  <w:color w:val="0000FF"/>
                  <w:sz w:val="22"/>
                  <w:u w:val="single"/>
                  <w:lang w:val="uk-UA" w:eastAsia="uk-UA"/>
                </w:rPr>
                <w:t>.</w:t>
              </w:r>
              <w:r w:rsidR="005E6286" w:rsidRPr="005E6286">
                <w:rPr>
                  <w:rFonts w:eastAsia="Calibri" w:cs="Times New Roman"/>
                  <w:color w:val="0000FF"/>
                  <w:sz w:val="22"/>
                  <w:u w:val="single"/>
                  <w:lang w:val="en-US" w:eastAsia="uk-UA"/>
                </w:rPr>
                <w:t>com</w:t>
              </w:r>
              <w:r w:rsidR="005E6286" w:rsidRPr="005E6286">
                <w:rPr>
                  <w:rFonts w:eastAsia="Calibri" w:cs="Times New Roman"/>
                  <w:color w:val="0000FF"/>
                  <w:sz w:val="22"/>
                  <w:u w:val="single"/>
                  <w:lang w:val="uk-UA" w:eastAsia="uk-UA"/>
                </w:rPr>
                <w:t>.</w:t>
              </w:r>
              <w:proofErr w:type="spellStart"/>
              <w:r w:rsidR="005E6286" w:rsidRPr="005E6286">
                <w:rPr>
                  <w:rFonts w:eastAsia="Calibri" w:cs="Times New Roman"/>
                  <w:color w:val="0000FF"/>
                  <w:sz w:val="22"/>
                  <w:u w:val="single"/>
                  <w:lang w:val="en-US" w:eastAsia="uk-UA"/>
                </w:rPr>
                <w:t>ua</w:t>
              </w:r>
              <w:proofErr w:type="spellEnd"/>
              <w:r w:rsidR="005E6286" w:rsidRPr="005E6286">
                <w:rPr>
                  <w:rFonts w:eastAsia="Calibri" w:cs="Times New Roman"/>
                  <w:color w:val="0000FF"/>
                  <w:sz w:val="22"/>
                  <w:u w:val="single"/>
                  <w:lang w:val="uk-UA" w:eastAsia="uk-UA"/>
                </w:rPr>
                <w:t>/</w:t>
              </w:r>
              <w:r w:rsidR="005E6286" w:rsidRPr="005E6286">
                <w:rPr>
                  <w:rFonts w:eastAsia="Calibri" w:cs="Times New Roman"/>
                  <w:color w:val="0000FF"/>
                  <w:sz w:val="22"/>
                  <w:u w:val="single"/>
                  <w:lang w:val="en-US" w:eastAsia="uk-UA"/>
                </w:rPr>
                <w:t>citations</w:t>
              </w:r>
              <w:r w:rsidR="005E6286" w:rsidRPr="005E6286">
                <w:rPr>
                  <w:rFonts w:eastAsia="Calibri" w:cs="Times New Roman"/>
                  <w:color w:val="0000FF"/>
                  <w:sz w:val="22"/>
                  <w:u w:val="single"/>
                  <w:lang w:val="uk-UA" w:eastAsia="uk-UA"/>
                </w:rPr>
                <w:t>?</w:t>
              </w:r>
              <w:r w:rsidR="005E6286" w:rsidRPr="005E6286">
                <w:rPr>
                  <w:rFonts w:eastAsia="Calibri" w:cs="Times New Roman"/>
                  <w:color w:val="0000FF"/>
                  <w:sz w:val="22"/>
                  <w:u w:val="single"/>
                  <w:lang w:val="en-US" w:eastAsia="uk-UA"/>
                </w:rPr>
                <w:t>user</w:t>
              </w:r>
              <w:r w:rsidR="005E6286" w:rsidRPr="005E6286">
                <w:rPr>
                  <w:rFonts w:eastAsia="Calibri" w:cs="Times New Roman"/>
                  <w:color w:val="0000FF"/>
                  <w:sz w:val="22"/>
                  <w:u w:val="single"/>
                  <w:lang w:val="uk-UA" w:eastAsia="uk-UA"/>
                </w:rPr>
                <w:t>=</w:t>
              </w:r>
              <w:proofErr w:type="spellStart"/>
              <w:r w:rsidR="005E6286" w:rsidRPr="005E6286">
                <w:rPr>
                  <w:rFonts w:eastAsia="Calibri" w:cs="Times New Roman"/>
                  <w:color w:val="0000FF"/>
                  <w:sz w:val="22"/>
                  <w:u w:val="single"/>
                  <w:lang w:val="en-US" w:eastAsia="uk-UA"/>
                </w:rPr>
                <w:t>OryS</w:t>
              </w:r>
              <w:proofErr w:type="spellEnd"/>
              <w:r w:rsidR="005E6286" w:rsidRPr="005E6286">
                <w:rPr>
                  <w:rFonts w:eastAsia="Calibri" w:cs="Times New Roman"/>
                  <w:color w:val="0000FF"/>
                  <w:sz w:val="22"/>
                  <w:u w:val="single"/>
                  <w:lang w:val="uk-UA" w:eastAsia="uk-UA"/>
                </w:rPr>
                <w:t>5</w:t>
              </w:r>
              <w:proofErr w:type="spellStart"/>
              <w:r w:rsidR="005E6286" w:rsidRPr="005E6286">
                <w:rPr>
                  <w:rFonts w:eastAsia="Calibri" w:cs="Times New Roman"/>
                  <w:color w:val="0000FF"/>
                  <w:sz w:val="22"/>
                  <w:u w:val="single"/>
                  <w:lang w:val="en-US" w:eastAsia="uk-UA"/>
                </w:rPr>
                <w:t>VcAAAAJ</w:t>
              </w:r>
              <w:proofErr w:type="spellEnd"/>
              <w:r w:rsidR="005E6286" w:rsidRPr="005E6286">
                <w:rPr>
                  <w:rFonts w:eastAsia="Calibri" w:cs="Times New Roman"/>
                  <w:color w:val="0000FF"/>
                  <w:sz w:val="22"/>
                  <w:u w:val="single"/>
                  <w:lang w:val="uk-UA" w:eastAsia="uk-UA"/>
                </w:rPr>
                <w:t>&amp;</w:t>
              </w:r>
              <w:r w:rsidR="005E6286" w:rsidRPr="005E6286">
                <w:rPr>
                  <w:rFonts w:eastAsia="Calibri" w:cs="Times New Roman"/>
                  <w:color w:val="0000FF"/>
                  <w:sz w:val="22"/>
                  <w:u w:val="single"/>
                  <w:lang w:val="en-US" w:eastAsia="uk-UA"/>
                </w:rPr>
                <w:t>hl</w:t>
              </w:r>
              <w:r w:rsidR="005E6286" w:rsidRPr="005E6286">
                <w:rPr>
                  <w:rFonts w:eastAsia="Calibri" w:cs="Times New Roman"/>
                  <w:color w:val="0000FF"/>
                  <w:sz w:val="22"/>
                  <w:u w:val="single"/>
                  <w:lang w:val="uk-UA" w:eastAsia="uk-UA"/>
                </w:rPr>
                <w:t>=</w:t>
              </w:r>
              <w:proofErr w:type="spellStart"/>
              <w:r w:rsidR="005E6286" w:rsidRPr="005E6286">
                <w:rPr>
                  <w:rFonts w:eastAsia="Calibri" w:cs="Times New Roman"/>
                  <w:color w:val="0000FF"/>
                  <w:sz w:val="22"/>
                  <w:u w:val="single"/>
                  <w:lang w:val="en-US" w:eastAsia="uk-UA"/>
                </w:rPr>
                <w:t>uk</w:t>
              </w:r>
              <w:proofErr w:type="spellEnd"/>
              <w:r w:rsidR="005E6286" w:rsidRPr="005E6286">
                <w:rPr>
                  <w:rFonts w:eastAsia="Calibri" w:cs="Times New Roman"/>
                  <w:color w:val="0000FF"/>
                  <w:sz w:val="22"/>
                  <w:u w:val="single"/>
                  <w:lang w:val="uk-UA" w:eastAsia="uk-UA"/>
                </w:rPr>
                <w:t>&amp;</w:t>
              </w:r>
              <w:proofErr w:type="spellStart"/>
              <w:r w:rsidR="005E6286" w:rsidRPr="005E6286">
                <w:rPr>
                  <w:rFonts w:eastAsia="Calibri" w:cs="Times New Roman"/>
                  <w:color w:val="0000FF"/>
                  <w:sz w:val="22"/>
                  <w:u w:val="single"/>
                  <w:lang w:val="en-US" w:eastAsia="uk-UA"/>
                </w:rPr>
                <w:t>authuser</w:t>
              </w:r>
              <w:proofErr w:type="spellEnd"/>
              <w:r w:rsidR="005E6286" w:rsidRPr="005E6286">
                <w:rPr>
                  <w:rFonts w:eastAsia="Calibri" w:cs="Times New Roman"/>
                  <w:color w:val="0000FF"/>
                  <w:sz w:val="22"/>
                  <w:u w:val="single"/>
                  <w:lang w:val="uk-UA" w:eastAsia="uk-UA"/>
                </w:rPr>
                <w:t>=1</w:t>
              </w:r>
            </w:hyperlink>
            <w:r w:rsidR="005E6286" w:rsidRPr="005E6286">
              <w:rPr>
                <w:rFonts w:eastAsia="Calibri" w:cs="Times New Roman"/>
                <w:color w:val="000000"/>
                <w:sz w:val="22"/>
                <w:lang w:val="uk-UA" w:eastAsia="uk-UA"/>
              </w:rPr>
              <w:t xml:space="preserve"> </w:t>
            </w:r>
          </w:p>
          <w:p w14:paraId="0E34C7C1" w14:textId="77777777" w:rsidR="005E6286" w:rsidRPr="005E6286" w:rsidRDefault="00944F86" w:rsidP="005E6286">
            <w:pPr>
              <w:rPr>
                <w:rFonts w:eastAsia="Times New Roman" w:cs="Times New Roman"/>
                <w:sz w:val="20"/>
                <w:szCs w:val="20"/>
                <w:lang w:val="uk-UA" w:eastAsia="uk-UA"/>
              </w:rPr>
            </w:pPr>
            <w:hyperlink r:id="rId11" w:history="1">
              <w:r w:rsidR="005E6286" w:rsidRPr="005E6286">
                <w:rPr>
                  <w:rFonts w:eastAsia="Times New Roman" w:cs="Times New Roman"/>
                  <w:color w:val="0000FF"/>
                  <w:sz w:val="20"/>
                  <w:szCs w:val="20"/>
                  <w:u w:val="single"/>
                  <w:lang w:val="uk-UA" w:eastAsia="uk-UA"/>
                </w:rPr>
                <w:t>https://orcid.org/0000-0001-6789-7711</w:t>
              </w:r>
            </w:hyperlink>
            <w:r w:rsidR="005E6286" w:rsidRPr="005E6286">
              <w:rPr>
                <w:rFonts w:eastAsia="Times New Roman" w:cs="Times New Roman"/>
                <w:sz w:val="20"/>
                <w:szCs w:val="20"/>
                <w:lang w:val="uk-UA" w:eastAsia="uk-UA"/>
              </w:rPr>
              <w:t xml:space="preserve"> </w:t>
            </w:r>
          </w:p>
        </w:tc>
      </w:tr>
      <w:tr w:rsidR="005E6286" w:rsidRPr="00662110" w14:paraId="52566277"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13868"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Лінк на освітній контент дисципліни</w:t>
            </w:r>
          </w:p>
        </w:tc>
        <w:tc>
          <w:tcPr>
            <w:tcW w:w="6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CFB7" w14:textId="77777777" w:rsidR="005E6286" w:rsidRPr="005E6286" w:rsidRDefault="00944F86" w:rsidP="005E6286">
            <w:pPr>
              <w:rPr>
                <w:rFonts w:eastAsia="Times New Roman" w:cs="Times New Roman"/>
                <w:sz w:val="20"/>
                <w:szCs w:val="20"/>
                <w:lang w:val="uk-UA" w:eastAsia="uk-UA"/>
              </w:rPr>
            </w:pPr>
            <w:hyperlink r:id="rId12" w:history="1">
              <w:r w:rsidR="005E6286" w:rsidRPr="005E6286">
                <w:rPr>
                  <w:rFonts w:eastAsia="Times New Roman" w:cs="Times New Roman"/>
                  <w:color w:val="0000FF"/>
                  <w:szCs w:val="24"/>
                  <w:u w:val="single"/>
                  <w:lang w:val="uk-UA" w:eastAsia="uk-UA"/>
                </w:rPr>
                <w:t>https://moodle.kpnu.edu.ua/course/view.php?id=9726</w:t>
              </w:r>
            </w:hyperlink>
          </w:p>
        </w:tc>
      </w:tr>
      <w:tr w:rsidR="005E6286" w:rsidRPr="005E6286" w14:paraId="69501C5B"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C57E7"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Статус дисципліни</w:t>
            </w:r>
          </w:p>
        </w:tc>
        <w:tc>
          <w:tcPr>
            <w:tcW w:w="6265" w:type="dxa"/>
            <w:tcBorders>
              <w:top w:val="single" w:sz="4" w:space="0" w:color="000000"/>
              <w:left w:val="single" w:sz="4" w:space="0" w:color="000000"/>
              <w:bottom w:val="single" w:sz="4" w:space="0" w:color="000000"/>
              <w:right w:val="single" w:sz="4" w:space="0" w:color="000000"/>
            </w:tcBorders>
            <w:shd w:val="clear" w:color="auto" w:fill="auto"/>
          </w:tcPr>
          <w:p w14:paraId="0F952F9C" w14:textId="77777777" w:rsidR="005E6286" w:rsidRPr="005E6286" w:rsidRDefault="005E6286" w:rsidP="005E6286">
            <w:pPr>
              <w:rPr>
                <w:rFonts w:eastAsia="Times New Roman" w:cs="Times New Roman"/>
                <w:sz w:val="20"/>
                <w:szCs w:val="20"/>
                <w:lang w:val="uk-UA" w:eastAsia="uk-UA"/>
              </w:rPr>
            </w:pPr>
            <w:r w:rsidRPr="005E6286">
              <w:rPr>
                <w:rFonts w:eastAsia="Times New Roman" w:cs="Times New Roman"/>
                <w:sz w:val="20"/>
                <w:szCs w:val="20"/>
                <w:lang w:val="uk-UA" w:eastAsia="uk-UA"/>
              </w:rPr>
              <w:t>вибірковий освітній компонент професійної підготовки</w:t>
            </w:r>
          </w:p>
        </w:tc>
      </w:tr>
      <w:tr w:rsidR="005E6286" w:rsidRPr="005E6286" w14:paraId="27CB6996"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CC11A"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 xml:space="preserve">Обсяг дисципліни, </w:t>
            </w:r>
          </w:p>
          <w:p w14:paraId="1E68C775"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кредити ЄКТС / години</w:t>
            </w:r>
          </w:p>
        </w:tc>
        <w:tc>
          <w:tcPr>
            <w:tcW w:w="6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9225" w14:textId="77777777" w:rsidR="005E6286" w:rsidRPr="005E6286" w:rsidRDefault="005E6286" w:rsidP="005E6286">
            <w:pPr>
              <w:rPr>
                <w:rFonts w:eastAsia="Times New Roman" w:cs="Times New Roman"/>
                <w:sz w:val="20"/>
                <w:szCs w:val="20"/>
                <w:lang w:val="uk-UA" w:eastAsia="uk-UA"/>
              </w:rPr>
            </w:pPr>
            <w:r w:rsidRPr="005E6286">
              <w:rPr>
                <w:rFonts w:eastAsia="Times New Roman" w:cs="Times New Roman"/>
                <w:sz w:val="20"/>
                <w:szCs w:val="20"/>
                <w:lang w:val="uk-UA" w:eastAsia="uk-UA"/>
              </w:rPr>
              <w:t>4 кредити ЄКТС / 120 год.</w:t>
            </w:r>
          </w:p>
        </w:tc>
      </w:tr>
      <w:tr w:rsidR="005E6286" w:rsidRPr="005E6286" w14:paraId="29C6D899"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E78A8"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Мова викладання</w:t>
            </w:r>
          </w:p>
        </w:tc>
        <w:tc>
          <w:tcPr>
            <w:tcW w:w="6265" w:type="dxa"/>
            <w:tcBorders>
              <w:top w:val="single" w:sz="4" w:space="0" w:color="000000"/>
              <w:left w:val="single" w:sz="4" w:space="0" w:color="000000"/>
              <w:bottom w:val="single" w:sz="4" w:space="0" w:color="000000"/>
              <w:right w:val="single" w:sz="4" w:space="0" w:color="000000"/>
            </w:tcBorders>
            <w:shd w:val="clear" w:color="auto" w:fill="auto"/>
          </w:tcPr>
          <w:p w14:paraId="7787A4B6" w14:textId="77777777" w:rsidR="005E6286" w:rsidRPr="005E6286" w:rsidRDefault="005E6286" w:rsidP="005E6286">
            <w:pPr>
              <w:rPr>
                <w:rFonts w:eastAsia="Times New Roman" w:cs="Times New Roman"/>
                <w:sz w:val="20"/>
                <w:szCs w:val="20"/>
                <w:lang w:val="uk-UA" w:eastAsia="uk-UA"/>
              </w:rPr>
            </w:pPr>
            <w:r w:rsidRPr="005E6286">
              <w:rPr>
                <w:rFonts w:eastAsia="Times New Roman" w:cs="Times New Roman"/>
                <w:sz w:val="20"/>
                <w:szCs w:val="20"/>
                <w:lang w:val="uk-UA" w:eastAsia="uk-UA"/>
              </w:rPr>
              <w:t>Українська</w:t>
            </w:r>
          </w:p>
        </w:tc>
      </w:tr>
      <w:tr w:rsidR="005E6286" w:rsidRPr="005E6286" w14:paraId="7F5A5A89"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0306F"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Форми навчання</w:t>
            </w:r>
          </w:p>
        </w:tc>
        <w:tc>
          <w:tcPr>
            <w:tcW w:w="6265" w:type="dxa"/>
            <w:tcBorders>
              <w:top w:val="single" w:sz="4" w:space="0" w:color="000000"/>
              <w:left w:val="single" w:sz="4" w:space="0" w:color="000000"/>
              <w:bottom w:val="single" w:sz="4" w:space="0" w:color="000000"/>
              <w:right w:val="single" w:sz="4" w:space="0" w:color="000000"/>
            </w:tcBorders>
            <w:shd w:val="clear" w:color="auto" w:fill="auto"/>
          </w:tcPr>
          <w:p w14:paraId="06FEFDC6" w14:textId="77777777" w:rsidR="005E6286" w:rsidRPr="005E6286" w:rsidRDefault="005E6286" w:rsidP="005E6286">
            <w:pPr>
              <w:rPr>
                <w:rFonts w:eastAsia="Times New Roman" w:cs="Times New Roman"/>
                <w:sz w:val="20"/>
                <w:szCs w:val="20"/>
                <w:lang w:val="uk-UA" w:eastAsia="uk-UA"/>
              </w:rPr>
            </w:pPr>
            <w:r w:rsidRPr="005E6286">
              <w:rPr>
                <w:rFonts w:eastAsia="Times New Roman" w:cs="Times New Roman"/>
                <w:sz w:val="20"/>
                <w:szCs w:val="20"/>
                <w:lang w:val="uk-UA" w:eastAsia="uk-UA"/>
              </w:rPr>
              <w:t>Очна, заочна.</w:t>
            </w:r>
          </w:p>
        </w:tc>
      </w:tr>
      <w:tr w:rsidR="005E6286" w:rsidRPr="00662110" w14:paraId="7070BA94"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03028"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Політика дисципліни</w:t>
            </w:r>
          </w:p>
        </w:tc>
        <w:tc>
          <w:tcPr>
            <w:tcW w:w="6265" w:type="dxa"/>
            <w:tcBorders>
              <w:top w:val="single" w:sz="4" w:space="0" w:color="000000"/>
              <w:left w:val="single" w:sz="4" w:space="0" w:color="000000"/>
              <w:bottom w:val="single" w:sz="4" w:space="0" w:color="000000"/>
              <w:right w:val="single" w:sz="4" w:space="0" w:color="000000"/>
            </w:tcBorders>
            <w:shd w:val="clear" w:color="auto" w:fill="auto"/>
          </w:tcPr>
          <w:p w14:paraId="47544812" w14:textId="77777777" w:rsidR="005E6286" w:rsidRPr="005E6286" w:rsidRDefault="005E6286" w:rsidP="005E6286">
            <w:pPr>
              <w:jc w:val="both"/>
              <w:rPr>
                <w:rFonts w:eastAsia="Times New Roman" w:cs="Times New Roman"/>
                <w:sz w:val="20"/>
                <w:szCs w:val="20"/>
                <w:lang w:val="uk-UA" w:eastAsia="uk-UA"/>
              </w:rPr>
            </w:pPr>
            <w:r w:rsidRPr="005E6286">
              <w:rPr>
                <w:rFonts w:eastAsia="Times New Roman" w:cs="Times New Roman"/>
                <w:sz w:val="20"/>
                <w:szCs w:val="20"/>
                <w:u w:val="single"/>
                <w:lang w:val="uk-UA" w:eastAsia="uk-UA"/>
              </w:rPr>
              <w:t>Академічна доброчесність.</w:t>
            </w:r>
            <w:r w:rsidRPr="005E6286">
              <w:rPr>
                <w:rFonts w:eastAsia="Times New Roman" w:cs="Times New Roman"/>
                <w:sz w:val="20"/>
                <w:szCs w:val="20"/>
                <w:lang w:val="uk-UA" w:eastAsia="uk-UA"/>
              </w:rPr>
              <w:t xml:space="preserve"> Очікується, що роботи студентів будуть їх оригінальними дослідженнями чи міркуваннями. Відсутність посилань на використані джерела, фабрикування джерел списування, втручання в роботу інших студентів становлять, але не обмежують приклади можливої академічної </w:t>
            </w:r>
            <w:proofErr w:type="spellStart"/>
            <w:r w:rsidRPr="005E6286">
              <w:rPr>
                <w:rFonts w:eastAsia="Times New Roman" w:cs="Times New Roman"/>
                <w:sz w:val="20"/>
                <w:szCs w:val="20"/>
                <w:lang w:val="uk-UA" w:eastAsia="uk-UA"/>
              </w:rPr>
              <w:t>недоброчесності</w:t>
            </w:r>
            <w:proofErr w:type="spellEnd"/>
            <w:r w:rsidRPr="005E6286">
              <w:rPr>
                <w:rFonts w:eastAsia="Times New Roman" w:cs="Times New Roman"/>
                <w:sz w:val="20"/>
                <w:szCs w:val="20"/>
                <w:lang w:val="uk-UA" w:eastAsia="uk-UA"/>
              </w:rPr>
              <w:t xml:space="preserve">. Виявлення ознак академічної </w:t>
            </w:r>
            <w:proofErr w:type="spellStart"/>
            <w:r w:rsidRPr="005E6286">
              <w:rPr>
                <w:rFonts w:eastAsia="Times New Roman" w:cs="Times New Roman"/>
                <w:sz w:val="20"/>
                <w:szCs w:val="20"/>
                <w:lang w:val="uk-UA" w:eastAsia="uk-UA"/>
              </w:rPr>
              <w:t>недоброчесності</w:t>
            </w:r>
            <w:proofErr w:type="spellEnd"/>
            <w:r w:rsidRPr="005E6286">
              <w:rPr>
                <w:rFonts w:eastAsia="Times New Roman" w:cs="Times New Roman"/>
                <w:sz w:val="20"/>
                <w:szCs w:val="20"/>
                <w:lang w:val="uk-UA" w:eastAsia="uk-UA"/>
              </w:rPr>
              <w:t xml:space="preserve"> в письмовій роботі студента є підставою для її не зарахування викладачем, незалежно від масштабів плагіату чи обману.</w:t>
            </w:r>
          </w:p>
          <w:p w14:paraId="075DB6B4" w14:textId="77777777" w:rsidR="005E6286" w:rsidRPr="005E6286" w:rsidRDefault="005E6286" w:rsidP="005E6286">
            <w:pPr>
              <w:jc w:val="both"/>
              <w:rPr>
                <w:rFonts w:eastAsia="Times New Roman" w:cs="Times New Roman"/>
                <w:sz w:val="20"/>
                <w:szCs w:val="20"/>
                <w:lang w:val="uk-UA" w:eastAsia="uk-UA"/>
              </w:rPr>
            </w:pPr>
            <w:r w:rsidRPr="005E6286">
              <w:rPr>
                <w:rFonts w:eastAsia="Times New Roman" w:cs="Times New Roman"/>
                <w:sz w:val="20"/>
                <w:szCs w:val="20"/>
                <w:lang w:val="uk-UA" w:eastAsia="uk-UA"/>
              </w:rPr>
              <w:t xml:space="preserve">URL: </w:t>
            </w:r>
            <w:hyperlink r:id="rId13">
              <w:r w:rsidRPr="005E6286">
                <w:rPr>
                  <w:rFonts w:eastAsia="Times New Roman" w:cs="Times New Roman"/>
                  <w:color w:val="1155CC"/>
                  <w:sz w:val="20"/>
                  <w:szCs w:val="20"/>
                  <w:u w:val="single"/>
                  <w:lang w:val="uk-UA" w:eastAsia="uk-UA"/>
                </w:rPr>
                <w:t>https://integrity.kpnu.edu.ua/</w:t>
              </w:r>
            </w:hyperlink>
          </w:p>
          <w:p w14:paraId="3136DAE7" w14:textId="77777777" w:rsidR="005E6286" w:rsidRPr="005E6286" w:rsidRDefault="005E6286" w:rsidP="005E6286">
            <w:pPr>
              <w:jc w:val="both"/>
              <w:rPr>
                <w:rFonts w:eastAsia="Times New Roman" w:cs="Times New Roman"/>
                <w:sz w:val="20"/>
                <w:szCs w:val="20"/>
                <w:lang w:val="uk-UA" w:eastAsia="uk-UA"/>
              </w:rPr>
            </w:pPr>
            <w:r w:rsidRPr="005E6286">
              <w:rPr>
                <w:rFonts w:eastAsia="Times New Roman" w:cs="Times New Roman"/>
                <w:sz w:val="20"/>
                <w:szCs w:val="20"/>
                <w:u w:val="single"/>
                <w:lang w:val="uk-UA" w:eastAsia="uk-UA"/>
              </w:rPr>
              <w:t>Відвідування занять.</w:t>
            </w:r>
            <w:r w:rsidRPr="005E6286">
              <w:rPr>
                <w:rFonts w:eastAsia="Times New Roman" w:cs="Times New Roman"/>
                <w:sz w:val="20"/>
                <w:szCs w:val="20"/>
                <w:lang w:val="uk-UA" w:eastAsia="uk-UA"/>
              </w:rPr>
              <w:t xml:space="preserve"> Очікується, що всі студенти відвідають лекційні та семінарські заняття курсу. Студенти мають інформувати викладача про неможливість відвідати заняття. У будь-якому випадку студенти зобов’язані дотримуватися термінів виконання усіх видів робіт, передбачених курсом.</w:t>
            </w:r>
          </w:p>
          <w:p w14:paraId="20789CA6" w14:textId="77777777" w:rsidR="005E6286" w:rsidRPr="005E6286" w:rsidRDefault="005E6286" w:rsidP="005E6286">
            <w:pPr>
              <w:jc w:val="both"/>
              <w:rPr>
                <w:rFonts w:eastAsia="Times New Roman" w:cs="Times New Roman"/>
                <w:sz w:val="20"/>
                <w:szCs w:val="20"/>
                <w:lang w:val="uk-UA" w:eastAsia="uk-UA"/>
              </w:rPr>
            </w:pPr>
            <w:r w:rsidRPr="005E6286">
              <w:rPr>
                <w:rFonts w:eastAsia="Times New Roman" w:cs="Times New Roman"/>
                <w:sz w:val="20"/>
                <w:szCs w:val="20"/>
                <w:lang w:val="uk-UA" w:eastAsia="uk-UA"/>
              </w:rPr>
              <w:t xml:space="preserve">«Положення про організацію освітнього процесу в КПНУ імені Івана Огієнка» </w:t>
            </w:r>
          </w:p>
          <w:p w14:paraId="4E1E3FC8" w14:textId="77777777" w:rsidR="005E6286" w:rsidRPr="005E6286" w:rsidRDefault="005E6286" w:rsidP="005E6286">
            <w:pPr>
              <w:jc w:val="both"/>
              <w:rPr>
                <w:rFonts w:eastAsia="Times New Roman" w:cs="Times New Roman"/>
                <w:sz w:val="20"/>
                <w:szCs w:val="20"/>
                <w:lang w:val="uk-UA" w:eastAsia="uk-UA"/>
              </w:rPr>
            </w:pPr>
            <w:r w:rsidRPr="005E6286">
              <w:rPr>
                <w:rFonts w:eastAsia="Times New Roman" w:cs="Times New Roman"/>
                <w:sz w:val="20"/>
                <w:szCs w:val="20"/>
                <w:lang w:val="uk-UA" w:eastAsia="uk-UA"/>
              </w:rPr>
              <w:t xml:space="preserve">URL: </w:t>
            </w:r>
            <w:hyperlink r:id="rId14">
              <w:r w:rsidRPr="005E6286">
                <w:rPr>
                  <w:rFonts w:eastAsia="Times New Roman" w:cs="Times New Roman"/>
                  <w:color w:val="1155CC"/>
                  <w:sz w:val="20"/>
                  <w:szCs w:val="20"/>
                  <w:u w:val="single"/>
                  <w:lang w:val="uk-UA" w:eastAsia="uk-UA"/>
                </w:rPr>
                <w:t>https://drive.google.com/file/d/1ZbMN35h-7ZSJBBOVvL2bTCaLtRbcQA86/view</w:t>
              </w:r>
            </w:hyperlink>
          </w:p>
          <w:p w14:paraId="7981AD53" w14:textId="77777777" w:rsidR="005E6286" w:rsidRPr="005E6286" w:rsidRDefault="005E6286" w:rsidP="005E6286">
            <w:pPr>
              <w:jc w:val="both"/>
              <w:rPr>
                <w:rFonts w:eastAsia="Times New Roman" w:cs="Times New Roman"/>
                <w:sz w:val="20"/>
                <w:szCs w:val="20"/>
                <w:u w:val="single"/>
                <w:lang w:val="uk-UA" w:eastAsia="uk-UA"/>
              </w:rPr>
            </w:pPr>
            <w:r w:rsidRPr="005E6286">
              <w:rPr>
                <w:rFonts w:eastAsia="Times New Roman" w:cs="Times New Roman"/>
                <w:sz w:val="20"/>
                <w:szCs w:val="20"/>
                <w:u w:val="single"/>
                <w:lang w:val="uk-UA" w:eastAsia="uk-UA"/>
              </w:rPr>
              <w:t>Неформальна освіта.</w:t>
            </w:r>
            <w:r w:rsidRPr="005E6286">
              <w:rPr>
                <w:rFonts w:eastAsia="Times New Roman" w:cs="Times New Roman"/>
                <w:sz w:val="20"/>
                <w:szCs w:val="20"/>
                <w:lang w:val="uk-UA" w:eastAsia="uk-UA"/>
              </w:rPr>
              <w:t xml:space="preserve"> </w:t>
            </w:r>
            <w:proofErr w:type="spellStart"/>
            <w:r w:rsidRPr="005E6286">
              <w:rPr>
                <w:rFonts w:eastAsia="Times New Roman" w:cs="Times New Roman"/>
                <w:sz w:val="20"/>
                <w:szCs w:val="20"/>
                <w:lang w:val="uk-UA" w:eastAsia="uk-UA"/>
              </w:rPr>
              <w:t>Визнанання</w:t>
            </w:r>
            <w:proofErr w:type="spellEnd"/>
            <w:r w:rsidRPr="005E6286">
              <w:rPr>
                <w:rFonts w:eastAsia="Times New Roman" w:cs="Times New Roman"/>
                <w:sz w:val="20"/>
                <w:szCs w:val="20"/>
                <w:lang w:val="uk-UA" w:eastAsia="uk-UA"/>
              </w:rPr>
              <w:t xml:space="preserve"> КПНУ ім. І. Огієнка результатів навчання, здобутих шляхом формальної або </w:t>
            </w:r>
            <w:proofErr w:type="spellStart"/>
            <w:r w:rsidRPr="005E6286">
              <w:rPr>
                <w:rFonts w:eastAsia="Times New Roman" w:cs="Times New Roman"/>
                <w:sz w:val="20"/>
                <w:szCs w:val="20"/>
                <w:lang w:val="uk-UA" w:eastAsia="uk-UA"/>
              </w:rPr>
              <w:t>інформальної</w:t>
            </w:r>
            <w:proofErr w:type="spellEnd"/>
            <w:r w:rsidRPr="005E6286">
              <w:rPr>
                <w:rFonts w:eastAsia="Times New Roman" w:cs="Times New Roman"/>
                <w:sz w:val="20"/>
                <w:szCs w:val="20"/>
                <w:lang w:val="uk-UA" w:eastAsia="uk-UA"/>
              </w:rPr>
              <w:t xml:space="preserve"> освіти регламентовано «Положенням про результатів навчання, здобутих шляхом формальної або </w:t>
            </w:r>
            <w:proofErr w:type="spellStart"/>
            <w:r w:rsidRPr="005E6286">
              <w:rPr>
                <w:rFonts w:eastAsia="Times New Roman" w:cs="Times New Roman"/>
                <w:sz w:val="20"/>
                <w:szCs w:val="20"/>
                <w:lang w:val="uk-UA" w:eastAsia="uk-UA"/>
              </w:rPr>
              <w:t>інформальної</w:t>
            </w:r>
            <w:proofErr w:type="spellEnd"/>
            <w:r w:rsidRPr="005E6286">
              <w:rPr>
                <w:rFonts w:eastAsia="Times New Roman" w:cs="Times New Roman"/>
                <w:sz w:val="20"/>
                <w:szCs w:val="20"/>
                <w:lang w:val="uk-UA" w:eastAsia="uk-UA"/>
              </w:rPr>
              <w:t xml:space="preserve"> освіти».</w:t>
            </w:r>
          </w:p>
          <w:p w14:paraId="7EE348E7" w14:textId="77777777" w:rsidR="005E6286" w:rsidRPr="005E6286" w:rsidRDefault="005E6286" w:rsidP="005E6286">
            <w:pPr>
              <w:jc w:val="both"/>
              <w:rPr>
                <w:rFonts w:eastAsia="Times New Roman" w:cs="Times New Roman"/>
                <w:sz w:val="20"/>
                <w:szCs w:val="20"/>
                <w:lang w:val="uk-UA" w:eastAsia="uk-UA"/>
              </w:rPr>
            </w:pPr>
            <w:r w:rsidRPr="005E6286">
              <w:rPr>
                <w:rFonts w:eastAsia="Times New Roman" w:cs="Times New Roman"/>
                <w:sz w:val="20"/>
                <w:szCs w:val="20"/>
                <w:lang w:val="uk-UA" w:eastAsia="uk-UA"/>
              </w:rPr>
              <w:t xml:space="preserve">URL: </w:t>
            </w:r>
            <w:hyperlink r:id="rId15">
              <w:r w:rsidRPr="005E6286">
                <w:rPr>
                  <w:rFonts w:eastAsia="Times New Roman" w:cs="Times New Roman"/>
                  <w:color w:val="1155CC"/>
                  <w:sz w:val="20"/>
                  <w:szCs w:val="20"/>
                  <w:u w:val="single"/>
                  <w:lang w:val="uk-UA" w:eastAsia="uk-UA"/>
                </w:rPr>
                <w:t>https://drive.google.com/file/d/19GCSM3y-K496gs8RQJp0mO9FjUJumB4T/view</w:t>
              </w:r>
            </w:hyperlink>
          </w:p>
        </w:tc>
      </w:tr>
      <w:tr w:rsidR="005E6286" w:rsidRPr="00662110" w14:paraId="55175CBD"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2B8ED"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lastRenderedPageBreak/>
              <w:t xml:space="preserve">Що будемо вивчати? </w:t>
            </w:r>
          </w:p>
        </w:tc>
        <w:tc>
          <w:tcPr>
            <w:tcW w:w="6265" w:type="dxa"/>
            <w:tcBorders>
              <w:top w:val="single" w:sz="4" w:space="0" w:color="000000"/>
              <w:left w:val="single" w:sz="4" w:space="0" w:color="000000"/>
              <w:bottom w:val="single" w:sz="4" w:space="0" w:color="000000"/>
              <w:right w:val="single" w:sz="4" w:space="0" w:color="000000"/>
            </w:tcBorders>
            <w:shd w:val="clear" w:color="auto" w:fill="auto"/>
          </w:tcPr>
          <w:p w14:paraId="766D2AFF" w14:textId="77777777" w:rsidR="005E6286" w:rsidRPr="005E6286" w:rsidRDefault="005E6286" w:rsidP="005E6286">
            <w:pPr>
              <w:spacing w:line="259" w:lineRule="auto"/>
              <w:jc w:val="both"/>
              <w:rPr>
                <w:rFonts w:eastAsia="Times New Roman" w:cs="Times New Roman"/>
                <w:sz w:val="20"/>
                <w:szCs w:val="20"/>
                <w:lang w:val="uk-UA" w:eastAsia="uk-UA"/>
              </w:rPr>
            </w:pPr>
            <w:r w:rsidRPr="005E6286">
              <w:rPr>
                <w:rFonts w:eastAsia="Times New Roman" w:cs="Times New Roman"/>
                <w:sz w:val="20"/>
                <w:szCs w:val="20"/>
                <w:lang w:val="uk-UA" w:eastAsia="uk-UA"/>
              </w:rPr>
              <w:t>Дисципліна «Гендерна політика» сприяє загальному та професійному розвитку здобувача освіти та спрямована на формування продуктивного світогляду, здатного до передачі знань та розуміння суті гендерного підходу. Особлива увага надається формуванню установок на гендерно-чутливий професійний світогляд і толерантну взаємодію, що сприятимуть виробленню навиків розпізнавання і вирішення гендерних конфліктів у освітній, політичній, громадській сферах.</w:t>
            </w:r>
          </w:p>
        </w:tc>
      </w:tr>
      <w:tr w:rsidR="005E6286" w:rsidRPr="00662110" w14:paraId="2E7613EA"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DB245"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 xml:space="preserve">Чому це треба вивчати? </w:t>
            </w:r>
          </w:p>
        </w:tc>
        <w:tc>
          <w:tcPr>
            <w:tcW w:w="6265" w:type="dxa"/>
            <w:tcBorders>
              <w:top w:val="single" w:sz="4" w:space="0" w:color="000000"/>
              <w:left w:val="single" w:sz="4" w:space="0" w:color="000000"/>
              <w:bottom w:val="single" w:sz="4" w:space="0" w:color="000000"/>
              <w:right w:val="single" w:sz="4" w:space="0" w:color="000000"/>
            </w:tcBorders>
            <w:shd w:val="clear" w:color="auto" w:fill="auto"/>
          </w:tcPr>
          <w:p w14:paraId="4BBD0BAF" w14:textId="3A6F8DC0" w:rsidR="005E6286" w:rsidRPr="00DE4013" w:rsidRDefault="00DE4013" w:rsidP="005E6286">
            <w:pPr>
              <w:jc w:val="both"/>
              <w:rPr>
                <w:rFonts w:eastAsia="Times New Roman" w:cs="Times New Roman"/>
                <w:sz w:val="20"/>
                <w:szCs w:val="20"/>
                <w:lang w:val="uk-UA" w:eastAsia="uk-UA"/>
              </w:rPr>
            </w:pPr>
            <w:r w:rsidRPr="00DE4013">
              <w:rPr>
                <w:rFonts w:eastAsia="Times New Roman" w:cs="Times New Roman"/>
                <w:sz w:val="20"/>
                <w:szCs w:val="20"/>
                <w:lang w:val="uk-UA" w:eastAsia="uk-UA"/>
              </w:rPr>
              <w:t>Вивчення курсу «Гендерна політика» є необхідним, оскільки воно забезпечує системну ефективність суспільства, дозволяючи оптимізувати людський капітал через подолання дискримінації на ринку праці та у політиці, а також є обов'язковою передумовою для імплементації європейських стандартів і міжнародних зобов'язань України. На особистому рівні, знання цього курсу розвиває критичне мислення та гендерну чутливість, що дає змогу ефективно протидіяти насильству та стереотипам у медіа та побуті, готуючи компетентних фахівців, здатних приймати неупереджені рішення і виступати агентами змін для побудови більш справедливого та безпечного суспільства.</w:t>
            </w:r>
          </w:p>
        </w:tc>
      </w:tr>
      <w:tr w:rsidR="005E6286" w:rsidRPr="00662110" w14:paraId="2FAC8B91" w14:textId="77777777" w:rsidTr="00090149">
        <w:trPr>
          <w:trHeight w:val="177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6BB99"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 xml:space="preserve">Яких результатів можна досягнути? </w:t>
            </w:r>
          </w:p>
        </w:tc>
        <w:tc>
          <w:tcPr>
            <w:tcW w:w="6265" w:type="dxa"/>
            <w:tcBorders>
              <w:top w:val="single" w:sz="4" w:space="0" w:color="000000"/>
              <w:left w:val="single" w:sz="4" w:space="0" w:color="000000"/>
              <w:bottom w:val="single" w:sz="4" w:space="0" w:color="000000"/>
              <w:right w:val="single" w:sz="4" w:space="0" w:color="000000"/>
            </w:tcBorders>
            <w:shd w:val="clear" w:color="auto" w:fill="auto"/>
          </w:tcPr>
          <w:p w14:paraId="68B789E9" w14:textId="321D9B53" w:rsidR="005E6286" w:rsidRPr="005E6286" w:rsidRDefault="005E6286" w:rsidP="005E6286">
            <w:pPr>
              <w:jc w:val="both"/>
              <w:rPr>
                <w:rFonts w:eastAsia="Times New Roman" w:cs="Times New Roman"/>
                <w:sz w:val="20"/>
                <w:szCs w:val="20"/>
                <w:lang w:val="uk-UA" w:eastAsia="uk-UA"/>
              </w:rPr>
            </w:pPr>
            <w:r w:rsidRPr="005E6286">
              <w:rPr>
                <w:rFonts w:eastAsia="Times New Roman" w:cs="Times New Roman"/>
                <w:sz w:val="20"/>
                <w:szCs w:val="20"/>
                <w:lang w:val="uk-UA" w:eastAsia="uk-UA"/>
              </w:rPr>
              <w:t>Очікувані результати навчання з дисципліни</w:t>
            </w:r>
            <w:r w:rsidR="002F02E5">
              <w:rPr>
                <w:rFonts w:eastAsia="Times New Roman" w:cs="Times New Roman"/>
                <w:sz w:val="20"/>
                <w:szCs w:val="20"/>
                <w:lang w:val="uk-UA" w:eastAsia="uk-UA"/>
              </w:rPr>
              <w:t>.</w:t>
            </w:r>
            <w:r w:rsidRPr="005E6286">
              <w:rPr>
                <w:rFonts w:eastAsia="Times New Roman" w:cs="Times New Roman"/>
                <w:sz w:val="20"/>
                <w:szCs w:val="20"/>
                <w:lang w:val="uk-UA" w:eastAsia="uk-UA"/>
              </w:rPr>
              <w:t xml:space="preserve"> </w:t>
            </w:r>
          </w:p>
          <w:p w14:paraId="06F2E7A0" w14:textId="693FD7C4" w:rsidR="005E6286" w:rsidRPr="002F02E5" w:rsidRDefault="002F02E5" w:rsidP="005E6286">
            <w:pPr>
              <w:keepNext/>
              <w:keepLines/>
              <w:jc w:val="both"/>
              <w:rPr>
                <w:rFonts w:eastAsia="Times New Roman" w:cs="Times New Roman"/>
                <w:bCs/>
                <w:sz w:val="20"/>
                <w:szCs w:val="20"/>
                <w:lang w:val="uk-UA" w:eastAsia="uk-UA"/>
              </w:rPr>
            </w:pPr>
            <w:r w:rsidRPr="002F02E5">
              <w:rPr>
                <w:rFonts w:eastAsia="Times New Roman" w:cs="Times New Roman"/>
                <w:bCs/>
                <w:sz w:val="20"/>
                <w:szCs w:val="20"/>
                <w:lang w:val="uk-UA" w:eastAsia="uk-UA"/>
              </w:rPr>
              <w:t>Чітке розуміння термінології та системної природи гендерних відмінностей.</w:t>
            </w:r>
            <w:r w:rsidR="005E6286" w:rsidRPr="002F02E5">
              <w:rPr>
                <w:rFonts w:eastAsia="Times New Roman" w:cs="Times New Roman"/>
                <w:bCs/>
                <w:sz w:val="20"/>
                <w:szCs w:val="20"/>
                <w:lang w:val="uk-UA" w:eastAsia="uk-UA"/>
              </w:rPr>
              <w:t>.</w:t>
            </w:r>
            <w:r w:rsidRPr="002F02E5">
              <w:rPr>
                <w:bCs/>
                <w:lang w:val="uk-UA"/>
              </w:rPr>
              <w:t xml:space="preserve"> </w:t>
            </w:r>
            <w:r w:rsidRPr="002F02E5">
              <w:rPr>
                <w:rFonts w:eastAsia="Times New Roman" w:cs="Times New Roman"/>
                <w:bCs/>
                <w:sz w:val="20"/>
                <w:szCs w:val="20"/>
                <w:lang w:val="uk-UA" w:eastAsia="uk-UA"/>
              </w:rPr>
              <w:t xml:space="preserve">Здатність проводити гендерний аудит і розробляти </w:t>
            </w:r>
            <w:proofErr w:type="spellStart"/>
            <w:r w:rsidRPr="002F02E5">
              <w:rPr>
                <w:rFonts w:eastAsia="Times New Roman" w:cs="Times New Roman"/>
                <w:bCs/>
                <w:sz w:val="20"/>
                <w:szCs w:val="20"/>
                <w:lang w:val="uk-UA" w:eastAsia="uk-UA"/>
              </w:rPr>
              <w:t>антидискримінаційні</w:t>
            </w:r>
            <w:proofErr w:type="spellEnd"/>
            <w:r w:rsidRPr="002F02E5">
              <w:rPr>
                <w:rFonts w:eastAsia="Times New Roman" w:cs="Times New Roman"/>
                <w:bCs/>
                <w:sz w:val="20"/>
                <w:szCs w:val="20"/>
                <w:lang w:val="uk-UA" w:eastAsia="uk-UA"/>
              </w:rPr>
              <w:t xml:space="preserve"> програми в будь-якій установі</w:t>
            </w:r>
            <w:r w:rsidRPr="002F02E5">
              <w:rPr>
                <w:rFonts w:eastAsia="Times New Roman" w:cs="Times New Roman"/>
                <w:bCs/>
                <w:sz w:val="20"/>
                <w:szCs w:val="20"/>
                <w:lang w:val="uk-UA" w:eastAsia="uk-UA"/>
              </w:rPr>
              <w:t>.</w:t>
            </w:r>
            <w:r w:rsidRPr="002F02E5">
              <w:rPr>
                <w:bCs/>
                <w:lang w:val="uk-UA"/>
              </w:rPr>
              <w:t xml:space="preserve"> </w:t>
            </w:r>
            <w:r w:rsidRPr="002F02E5">
              <w:rPr>
                <w:rFonts w:eastAsia="Times New Roman" w:cs="Times New Roman"/>
                <w:bCs/>
                <w:sz w:val="20"/>
                <w:szCs w:val="20"/>
                <w:lang w:val="uk-UA" w:eastAsia="uk-UA"/>
              </w:rPr>
              <w:t>Уміння виявляти, запобігати та реагувати на насильство; активна соціальна позиція.</w:t>
            </w:r>
            <w:r w:rsidRPr="002F02E5">
              <w:rPr>
                <w:rFonts w:eastAsia="Times New Roman" w:cs="Times New Roman"/>
                <w:bCs/>
                <w:sz w:val="20"/>
                <w:szCs w:val="20"/>
                <w:lang w:val="uk-UA" w:eastAsia="uk-UA"/>
              </w:rPr>
              <w:t xml:space="preserve"> </w:t>
            </w:r>
            <w:r w:rsidRPr="002F02E5">
              <w:rPr>
                <w:rFonts w:eastAsia="Times New Roman" w:cs="Times New Roman"/>
                <w:bCs/>
                <w:sz w:val="20"/>
                <w:szCs w:val="20"/>
                <w:lang w:val="uk-UA" w:eastAsia="uk-UA"/>
              </w:rPr>
              <w:t>Набуття навичок критичного мислення та гендерної чутливості для створення інклюзивного середовища.</w:t>
            </w:r>
            <w:r w:rsidRPr="002F02E5">
              <w:rPr>
                <w:rFonts w:eastAsia="Times New Roman" w:cs="Times New Roman"/>
                <w:bCs/>
                <w:sz w:val="20"/>
                <w:szCs w:val="20"/>
                <w:lang w:val="uk-UA" w:eastAsia="uk-UA"/>
              </w:rPr>
              <w:t xml:space="preserve"> </w:t>
            </w:r>
          </w:p>
        </w:tc>
      </w:tr>
      <w:tr w:rsidR="005E6286" w:rsidRPr="00662110" w14:paraId="4C907838"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2F420"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Як можна використати набуті знання та уміння?</w:t>
            </w:r>
          </w:p>
        </w:tc>
        <w:tc>
          <w:tcPr>
            <w:tcW w:w="6265" w:type="dxa"/>
            <w:tcBorders>
              <w:top w:val="single" w:sz="4" w:space="0" w:color="000000"/>
              <w:left w:val="single" w:sz="4" w:space="0" w:color="000000"/>
              <w:bottom w:val="single" w:sz="4" w:space="0" w:color="000000"/>
              <w:right w:val="single" w:sz="4" w:space="0" w:color="000000"/>
            </w:tcBorders>
            <w:shd w:val="clear" w:color="auto" w:fill="auto"/>
          </w:tcPr>
          <w:p w14:paraId="5CD40353" w14:textId="3FBD76E2" w:rsidR="005E6286" w:rsidRPr="005E6286" w:rsidRDefault="002F02E5" w:rsidP="005E6286">
            <w:pPr>
              <w:jc w:val="both"/>
              <w:rPr>
                <w:rFonts w:eastAsia="Times New Roman" w:cs="Times New Roman"/>
                <w:sz w:val="20"/>
                <w:szCs w:val="20"/>
                <w:lang w:val="uk-UA" w:eastAsia="uk-UA"/>
              </w:rPr>
            </w:pPr>
            <w:r w:rsidRPr="002F02E5">
              <w:rPr>
                <w:rFonts w:eastAsia="Times New Roman" w:cs="Times New Roman"/>
                <w:sz w:val="20"/>
                <w:szCs w:val="20"/>
                <w:lang w:val="uk-UA" w:eastAsia="uk-UA"/>
              </w:rPr>
              <w:t xml:space="preserve">Курс «Гендерна політика» надає </w:t>
            </w:r>
            <w:r>
              <w:rPr>
                <w:rFonts w:eastAsia="Times New Roman" w:cs="Times New Roman"/>
                <w:sz w:val="20"/>
                <w:szCs w:val="20"/>
                <w:lang w:val="uk-UA" w:eastAsia="uk-UA"/>
              </w:rPr>
              <w:t>здобувачам</w:t>
            </w:r>
            <w:r w:rsidRPr="002F02E5">
              <w:rPr>
                <w:rFonts w:eastAsia="Times New Roman" w:cs="Times New Roman"/>
                <w:sz w:val="20"/>
                <w:szCs w:val="20"/>
                <w:lang w:val="uk-UA" w:eastAsia="uk-UA"/>
              </w:rPr>
              <w:t xml:space="preserve"> міждисциплінарні знання та навички, критично важливі для сучасної професійної та громадської діяльності, оскільки він охоплює аналіз гендерних стереотипів, законодавчі основи гендерної рівності в Україні та ЄС, а також практичні аспекти їхнього впровадження у таких сферах, як ринок праці, освіта та політика. Набуті вміння дозволяють не лише виявляти та ефективно протидіяти гендерному насильству та дискримінації, але й свідомо формувати гендерно-чутливі політики та комунікаційні стратегії, перетворюючи випускників на агентів соціальних змін, здатних забезпечувати рівність і дотримання прав у будь-якому професійному чи соціальному середовищі.</w:t>
            </w:r>
          </w:p>
        </w:tc>
      </w:tr>
      <w:tr w:rsidR="005E6286" w:rsidRPr="005E6286" w14:paraId="7888AF6A"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0D9DA" w14:textId="77777777" w:rsidR="005E6286" w:rsidRPr="005E6286" w:rsidRDefault="005E6286" w:rsidP="005E6286">
            <w:pPr>
              <w:rPr>
                <w:rFonts w:eastAsia="Times New Roman" w:cs="Times New Roman"/>
                <w:b/>
                <w:sz w:val="20"/>
                <w:szCs w:val="20"/>
                <w:lang w:val="uk-UA" w:eastAsia="uk-UA"/>
              </w:rPr>
            </w:pPr>
            <w:r w:rsidRPr="005E6286">
              <w:rPr>
                <w:rFonts w:eastAsia="Times New Roman" w:cs="Times New Roman"/>
                <w:b/>
                <w:sz w:val="20"/>
                <w:szCs w:val="20"/>
                <w:lang w:val="uk-UA" w:eastAsia="uk-UA"/>
              </w:rPr>
              <w:t>Зміст дисципліни</w:t>
            </w:r>
          </w:p>
        </w:tc>
        <w:tc>
          <w:tcPr>
            <w:tcW w:w="6265" w:type="dxa"/>
            <w:tcBorders>
              <w:top w:val="single" w:sz="4" w:space="0" w:color="000000"/>
              <w:left w:val="single" w:sz="4" w:space="0" w:color="000000"/>
              <w:bottom w:val="single" w:sz="4" w:space="0" w:color="000000"/>
              <w:right w:val="single" w:sz="4" w:space="0" w:color="000000"/>
            </w:tcBorders>
            <w:shd w:val="clear" w:color="auto" w:fill="auto"/>
          </w:tcPr>
          <w:p w14:paraId="603E5B29" w14:textId="77777777" w:rsidR="00662110" w:rsidRPr="00662110" w:rsidRDefault="00662110" w:rsidP="00662110">
            <w:pPr>
              <w:jc w:val="both"/>
              <w:rPr>
                <w:rFonts w:eastAsia="Calibri" w:cs="Times New Roman"/>
                <w:sz w:val="20"/>
                <w:szCs w:val="20"/>
                <w:lang w:val="uk-UA" w:eastAsia="uk-UA"/>
              </w:rPr>
            </w:pPr>
            <w:r w:rsidRPr="00662110">
              <w:rPr>
                <w:rFonts w:eastAsia="Calibri" w:cs="Times New Roman"/>
                <w:sz w:val="20"/>
                <w:szCs w:val="20"/>
                <w:lang w:val="uk-UA" w:eastAsia="uk-UA"/>
              </w:rPr>
              <w:t>Тема 1. Ґендер і гендерна рівність. Гендерні стереотипи.</w:t>
            </w:r>
          </w:p>
          <w:p w14:paraId="67927468" w14:textId="78F7F33B" w:rsidR="005E6286" w:rsidRPr="005E6286" w:rsidRDefault="00662110" w:rsidP="00662110">
            <w:pPr>
              <w:jc w:val="both"/>
              <w:rPr>
                <w:rFonts w:eastAsia="Times New Roman" w:cs="Times New Roman"/>
                <w:sz w:val="20"/>
                <w:szCs w:val="20"/>
                <w:lang w:val="uk-UA" w:eastAsia="uk-UA"/>
              </w:rPr>
            </w:pPr>
            <w:r w:rsidRPr="00662110">
              <w:rPr>
                <w:rFonts w:eastAsia="Calibri" w:cs="Times New Roman"/>
                <w:sz w:val="20"/>
                <w:szCs w:val="20"/>
                <w:lang w:val="uk-UA" w:eastAsia="uk-UA"/>
              </w:rPr>
              <w:t>Тема 2. Гендерна політика в Україні та ЄС: законодавчі та соціальні аспекти</w:t>
            </w:r>
            <w:r>
              <w:rPr>
                <w:rFonts w:eastAsia="Calibri" w:cs="Times New Roman"/>
                <w:sz w:val="20"/>
                <w:szCs w:val="20"/>
                <w:lang w:val="uk-UA" w:eastAsia="uk-UA"/>
              </w:rPr>
              <w:t>.</w:t>
            </w:r>
            <w:r w:rsidRPr="00662110">
              <w:rPr>
                <w:rFonts w:eastAsia="Calibri" w:cs="Times New Roman"/>
                <w:sz w:val="20"/>
                <w:szCs w:val="20"/>
                <w:lang w:val="uk-UA" w:eastAsia="uk-UA"/>
              </w:rPr>
              <w:t xml:space="preserve"> Тема 3. Гендерні аспекти ринку праці</w:t>
            </w:r>
            <w:r>
              <w:rPr>
                <w:rFonts w:eastAsia="Calibri" w:cs="Times New Roman"/>
                <w:sz w:val="20"/>
                <w:szCs w:val="20"/>
                <w:lang w:val="uk-UA" w:eastAsia="uk-UA"/>
              </w:rPr>
              <w:t xml:space="preserve">. </w:t>
            </w:r>
            <w:r w:rsidRPr="00662110">
              <w:rPr>
                <w:rFonts w:eastAsia="Calibri" w:cs="Times New Roman"/>
                <w:sz w:val="20"/>
                <w:szCs w:val="20"/>
                <w:lang w:val="uk-UA" w:eastAsia="uk-UA"/>
              </w:rPr>
              <w:t>Тема 4. Гендерна політика у сфері освіти</w:t>
            </w:r>
            <w:r>
              <w:rPr>
                <w:rFonts w:eastAsia="Calibri" w:cs="Times New Roman"/>
                <w:sz w:val="20"/>
                <w:szCs w:val="20"/>
                <w:lang w:val="uk-UA" w:eastAsia="uk-UA"/>
              </w:rPr>
              <w:t xml:space="preserve">. </w:t>
            </w:r>
            <w:r w:rsidRPr="00662110">
              <w:rPr>
                <w:rFonts w:eastAsia="Calibri" w:cs="Times New Roman"/>
                <w:sz w:val="20"/>
                <w:szCs w:val="20"/>
                <w:lang w:val="uk-UA" w:eastAsia="uk-UA"/>
              </w:rPr>
              <w:t>Тема 5. Ґендерні аспекти політики</w:t>
            </w:r>
            <w:r>
              <w:rPr>
                <w:rFonts w:eastAsia="Calibri" w:cs="Times New Roman"/>
                <w:sz w:val="20"/>
                <w:szCs w:val="20"/>
                <w:lang w:val="uk-UA" w:eastAsia="uk-UA"/>
              </w:rPr>
              <w:t xml:space="preserve">. </w:t>
            </w:r>
            <w:r w:rsidRPr="00662110">
              <w:rPr>
                <w:rFonts w:eastAsia="Calibri" w:cs="Times New Roman"/>
                <w:sz w:val="20"/>
                <w:szCs w:val="20"/>
                <w:lang w:val="uk-UA" w:eastAsia="uk-UA"/>
              </w:rPr>
              <w:t>Тема 6. Гендерні питання у медіа</w:t>
            </w:r>
            <w:r>
              <w:rPr>
                <w:rFonts w:eastAsia="Calibri" w:cs="Times New Roman"/>
                <w:sz w:val="20"/>
                <w:szCs w:val="20"/>
                <w:lang w:val="uk-UA" w:eastAsia="uk-UA"/>
              </w:rPr>
              <w:t xml:space="preserve">. </w:t>
            </w:r>
            <w:r w:rsidRPr="00662110">
              <w:rPr>
                <w:rFonts w:eastAsia="Calibri" w:cs="Times New Roman"/>
                <w:sz w:val="20"/>
                <w:szCs w:val="20"/>
                <w:lang w:val="uk-UA" w:eastAsia="uk-UA"/>
              </w:rPr>
              <w:t>Тема 7. Гендерне насильство: причини, форми</w:t>
            </w:r>
            <w:r>
              <w:rPr>
                <w:rFonts w:eastAsia="Calibri" w:cs="Times New Roman"/>
                <w:sz w:val="20"/>
                <w:szCs w:val="20"/>
                <w:lang w:val="uk-UA" w:eastAsia="uk-UA"/>
              </w:rPr>
              <w:t xml:space="preserve">. </w:t>
            </w:r>
            <w:r w:rsidRPr="00662110">
              <w:rPr>
                <w:rFonts w:eastAsia="Calibri" w:cs="Times New Roman"/>
                <w:sz w:val="20"/>
                <w:szCs w:val="20"/>
                <w:lang w:val="uk-UA" w:eastAsia="uk-UA"/>
              </w:rPr>
              <w:t>Тема 8. Гендерне насильство: шляхи подолання</w:t>
            </w:r>
            <w:r>
              <w:rPr>
                <w:rFonts w:eastAsia="Calibri" w:cs="Times New Roman"/>
                <w:sz w:val="20"/>
                <w:szCs w:val="20"/>
                <w:lang w:val="uk-UA" w:eastAsia="uk-UA"/>
              </w:rPr>
              <w:t xml:space="preserve">. </w:t>
            </w:r>
            <w:r w:rsidRPr="00662110">
              <w:rPr>
                <w:rFonts w:eastAsia="Calibri" w:cs="Times New Roman"/>
                <w:sz w:val="20"/>
                <w:szCs w:val="20"/>
                <w:lang w:val="uk-UA" w:eastAsia="uk-UA"/>
              </w:rPr>
              <w:t>Тема 9. Гендерні аспекти здоров’я та репродуктивні права</w:t>
            </w:r>
            <w:r>
              <w:rPr>
                <w:rFonts w:eastAsia="Calibri" w:cs="Times New Roman"/>
                <w:sz w:val="20"/>
                <w:szCs w:val="20"/>
                <w:lang w:val="uk-UA" w:eastAsia="uk-UA"/>
              </w:rPr>
              <w:t xml:space="preserve">. </w:t>
            </w:r>
            <w:r w:rsidRPr="00662110">
              <w:rPr>
                <w:rFonts w:eastAsia="Calibri" w:cs="Times New Roman"/>
                <w:sz w:val="20"/>
                <w:szCs w:val="20"/>
                <w:lang w:val="uk-UA" w:eastAsia="uk-UA"/>
              </w:rPr>
              <w:t>Тема 10. Гендерна політика в Україні: виклики та перспективи</w:t>
            </w:r>
          </w:p>
        </w:tc>
      </w:tr>
      <w:tr w:rsidR="005E6286" w:rsidRPr="005E6286" w14:paraId="4BD470CD" w14:textId="77777777" w:rsidTr="00090149">
        <w:trPr>
          <w:trHeight w:val="55"/>
        </w:trPr>
        <w:tc>
          <w:tcPr>
            <w:tcW w:w="3260" w:type="dxa"/>
            <w:tcBorders>
              <w:left w:val="single" w:sz="4" w:space="0" w:color="000000"/>
              <w:bottom w:val="single" w:sz="4" w:space="0" w:color="000000"/>
              <w:right w:val="single" w:sz="4" w:space="0" w:color="000000"/>
            </w:tcBorders>
            <w:shd w:val="clear" w:color="auto" w:fill="FFFFFF"/>
            <w:vAlign w:val="center"/>
          </w:tcPr>
          <w:p w14:paraId="2EBE7C74" w14:textId="77777777" w:rsidR="005E6286" w:rsidRPr="005E6286" w:rsidRDefault="005E6286" w:rsidP="005E6286">
            <w:pPr>
              <w:spacing w:line="259" w:lineRule="auto"/>
              <w:rPr>
                <w:rFonts w:eastAsia="Times New Roman" w:cs="Times New Roman"/>
                <w:b/>
                <w:sz w:val="20"/>
                <w:szCs w:val="20"/>
                <w:highlight w:val="yellow"/>
                <w:lang w:val="uk-UA" w:eastAsia="uk-UA"/>
              </w:rPr>
            </w:pPr>
            <w:r w:rsidRPr="005E6286">
              <w:rPr>
                <w:rFonts w:eastAsia="Times New Roman" w:cs="Times New Roman"/>
                <w:b/>
                <w:sz w:val="20"/>
                <w:szCs w:val="20"/>
                <w:lang w:val="uk-UA" w:eastAsia="uk-UA"/>
              </w:rPr>
              <w:t>Методи навчання</w:t>
            </w:r>
          </w:p>
        </w:tc>
        <w:tc>
          <w:tcPr>
            <w:tcW w:w="6265" w:type="dxa"/>
            <w:tcBorders>
              <w:left w:val="single" w:sz="4" w:space="0" w:color="000000"/>
              <w:bottom w:val="single" w:sz="4" w:space="0" w:color="000000"/>
              <w:right w:val="single" w:sz="4" w:space="0" w:color="000000"/>
            </w:tcBorders>
            <w:shd w:val="clear" w:color="auto" w:fill="auto"/>
            <w:vAlign w:val="center"/>
          </w:tcPr>
          <w:p w14:paraId="5CB94D39" w14:textId="2B484DE8" w:rsidR="005E6286" w:rsidRPr="005E6286" w:rsidRDefault="005E6286" w:rsidP="005E6286">
            <w:pPr>
              <w:jc w:val="both"/>
              <w:rPr>
                <w:rFonts w:eastAsia="Times New Roman" w:cs="Times New Roman"/>
                <w:sz w:val="20"/>
                <w:szCs w:val="20"/>
                <w:lang w:val="uk-UA" w:eastAsia="uk-UA"/>
              </w:rPr>
            </w:pPr>
            <w:r w:rsidRPr="005E6286">
              <w:rPr>
                <w:rFonts w:eastAsia="Times New Roman" w:cs="Times New Roman"/>
                <w:sz w:val="20"/>
                <w:szCs w:val="20"/>
                <w:lang w:val="uk-UA" w:eastAsia="uk-UA"/>
              </w:rPr>
              <w:t xml:space="preserve">Словесні, наочні методи; </w:t>
            </w:r>
            <w:proofErr w:type="spellStart"/>
            <w:r w:rsidRPr="005E6286">
              <w:rPr>
                <w:rFonts w:eastAsia="Times New Roman" w:cs="Times New Roman"/>
                <w:sz w:val="20"/>
                <w:szCs w:val="20"/>
                <w:lang w:val="uk-UA" w:eastAsia="uk-UA"/>
              </w:rPr>
              <w:t>пояснювально</w:t>
            </w:r>
            <w:proofErr w:type="spellEnd"/>
            <w:r w:rsidRPr="005E6286">
              <w:rPr>
                <w:rFonts w:eastAsia="Times New Roman" w:cs="Times New Roman"/>
                <w:sz w:val="20"/>
                <w:szCs w:val="20"/>
                <w:lang w:val="uk-UA" w:eastAsia="uk-UA"/>
              </w:rPr>
              <w:t>-ілюстративний метод,</w:t>
            </w:r>
            <w:r w:rsidRPr="005E6286">
              <w:rPr>
                <w:rFonts w:eastAsia="Times New Roman" w:cs="Times New Roman"/>
                <w:b/>
                <w:sz w:val="20"/>
                <w:szCs w:val="20"/>
                <w:lang w:val="uk-UA" w:eastAsia="uk-UA"/>
              </w:rPr>
              <w:t xml:space="preserve"> </w:t>
            </w:r>
            <w:r w:rsidRPr="005E6286">
              <w:rPr>
                <w:rFonts w:eastAsia="Times New Roman" w:cs="Times New Roman"/>
                <w:sz w:val="20"/>
                <w:szCs w:val="20"/>
                <w:lang w:val="uk-UA" w:eastAsia="uk-UA"/>
              </w:rPr>
              <w:t>демонстрація</w:t>
            </w:r>
            <w:r w:rsidRPr="005E6286">
              <w:rPr>
                <w:rFonts w:eastAsia="Times New Roman" w:cs="Times New Roman"/>
                <w:b/>
                <w:sz w:val="20"/>
                <w:szCs w:val="20"/>
                <w:lang w:val="uk-UA" w:eastAsia="uk-UA"/>
              </w:rPr>
              <w:t xml:space="preserve">, </w:t>
            </w:r>
            <w:r w:rsidRPr="005E6286">
              <w:rPr>
                <w:rFonts w:eastAsia="Times New Roman" w:cs="Times New Roman"/>
                <w:sz w:val="20"/>
                <w:szCs w:val="20"/>
                <w:lang w:val="uk-UA" w:eastAsia="uk-UA"/>
              </w:rPr>
              <w:t>метод проблемного викладу матеріалу (ігрові методи, дискусійна панель тощо)</w:t>
            </w:r>
            <w:r w:rsidRPr="005E6286">
              <w:rPr>
                <w:rFonts w:eastAsia="Times New Roman" w:cs="Times New Roman"/>
                <w:b/>
                <w:i/>
                <w:sz w:val="20"/>
                <w:szCs w:val="20"/>
                <w:lang w:val="uk-UA" w:eastAsia="uk-UA"/>
              </w:rPr>
              <w:t>.</w:t>
            </w:r>
          </w:p>
        </w:tc>
      </w:tr>
      <w:tr w:rsidR="005E6286" w:rsidRPr="005E6286" w14:paraId="3C766B84" w14:textId="77777777" w:rsidTr="00090149">
        <w:trPr>
          <w:trHeight w:val="55"/>
        </w:trPr>
        <w:tc>
          <w:tcPr>
            <w:tcW w:w="3260" w:type="dxa"/>
            <w:tcBorders>
              <w:left w:val="single" w:sz="4" w:space="0" w:color="000000"/>
              <w:bottom w:val="single" w:sz="4" w:space="0" w:color="000000"/>
              <w:right w:val="single" w:sz="4" w:space="0" w:color="000000"/>
            </w:tcBorders>
            <w:shd w:val="clear" w:color="auto" w:fill="FFFFFF"/>
            <w:vAlign w:val="center"/>
          </w:tcPr>
          <w:p w14:paraId="2FF8544C"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Інформаційне забезпечення</w:t>
            </w:r>
          </w:p>
        </w:tc>
        <w:tc>
          <w:tcPr>
            <w:tcW w:w="6265" w:type="dxa"/>
            <w:tcBorders>
              <w:left w:val="single" w:sz="4" w:space="0" w:color="000000"/>
              <w:bottom w:val="single" w:sz="4" w:space="0" w:color="000000"/>
              <w:right w:val="single" w:sz="4" w:space="0" w:color="000000"/>
            </w:tcBorders>
            <w:shd w:val="clear" w:color="auto" w:fill="auto"/>
            <w:vAlign w:val="center"/>
          </w:tcPr>
          <w:p w14:paraId="65405D79" w14:textId="0D744EE7" w:rsidR="00FB754B" w:rsidRDefault="00FB754B" w:rsidP="00FB754B">
            <w:pPr>
              <w:tabs>
                <w:tab w:val="left" w:pos="993"/>
              </w:tabs>
              <w:spacing w:after="160" w:line="259" w:lineRule="auto"/>
              <w:contextualSpacing/>
              <w:jc w:val="both"/>
              <w:rPr>
                <w:rFonts w:eastAsia="Calibri" w:cs="Times New Roman"/>
                <w:sz w:val="20"/>
                <w:szCs w:val="20"/>
                <w:lang w:val="uk-UA" w:eastAsia="uk-UA"/>
              </w:rPr>
            </w:pPr>
            <w:r w:rsidRPr="00FB754B">
              <w:rPr>
                <w:rFonts w:eastAsia="Calibri" w:cs="Times New Roman"/>
                <w:sz w:val="20"/>
                <w:szCs w:val="20"/>
                <w:lang w:val="uk-UA" w:eastAsia="uk-UA"/>
              </w:rPr>
              <w:t xml:space="preserve">Ґендерна політика в нормативно-правових документах. Частина 1. За </w:t>
            </w:r>
            <w:proofErr w:type="spellStart"/>
            <w:r w:rsidRPr="00FB754B">
              <w:rPr>
                <w:rFonts w:eastAsia="Calibri" w:cs="Times New Roman"/>
                <w:sz w:val="20"/>
                <w:szCs w:val="20"/>
                <w:lang w:val="uk-UA" w:eastAsia="uk-UA"/>
              </w:rPr>
              <w:t>заг.ред</w:t>
            </w:r>
            <w:proofErr w:type="spellEnd"/>
            <w:r>
              <w:rPr>
                <w:rFonts w:eastAsia="Calibri" w:cs="Times New Roman"/>
                <w:sz w:val="20"/>
                <w:szCs w:val="20"/>
                <w:lang w:val="uk-UA" w:eastAsia="uk-UA"/>
              </w:rPr>
              <w:t xml:space="preserve"> </w:t>
            </w:r>
            <w:r w:rsidRPr="00FB754B">
              <w:rPr>
                <w:rFonts w:eastAsia="Calibri" w:cs="Times New Roman"/>
                <w:sz w:val="20"/>
                <w:szCs w:val="20"/>
                <w:lang w:val="uk-UA" w:eastAsia="uk-UA"/>
              </w:rPr>
              <w:t>Левченко К.Б. / Г.Г. Жуковська, К.Б. Левченко, О.О. Остапенко, О.І. Суслова. Київ, 2020. 186 с.</w:t>
            </w:r>
          </w:p>
          <w:p w14:paraId="64C6A9B2" w14:textId="0FE1D1F5" w:rsidR="005E6286" w:rsidRPr="00EF7572" w:rsidRDefault="005E6286" w:rsidP="00EF7572">
            <w:pPr>
              <w:tabs>
                <w:tab w:val="left" w:pos="993"/>
              </w:tabs>
              <w:spacing w:after="160" w:line="259" w:lineRule="auto"/>
              <w:contextualSpacing/>
              <w:jc w:val="both"/>
              <w:rPr>
                <w:rFonts w:eastAsia="Calibri" w:cs="Times New Roman"/>
                <w:sz w:val="20"/>
                <w:szCs w:val="20"/>
                <w:lang w:val="uk-UA" w:eastAsia="uk-UA"/>
              </w:rPr>
            </w:pPr>
            <w:r w:rsidRPr="00EF7572">
              <w:rPr>
                <w:rFonts w:eastAsia="Calibri" w:cs="Times New Roman"/>
                <w:sz w:val="20"/>
                <w:szCs w:val="20"/>
                <w:lang w:val="uk-UA" w:eastAsia="uk-UA"/>
              </w:rPr>
              <w:t xml:space="preserve">Марценюк Тамара. </w:t>
            </w:r>
            <w:proofErr w:type="spellStart"/>
            <w:r w:rsidRPr="00EF7572">
              <w:rPr>
                <w:rFonts w:eastAsia="Calibri" w:cs="Times New Roman"/>
                <w:sz w:val="20"/>
                <w:szCs w:val="20"/>
                <w:lang w:val="uk-UA" w:eastAsia="uk-UA"/>
              </w:rPr>
              <w:t>Гендер</w:t>
            </w:r>
            <w:proofErr w:type="spellEnd"/>
            <w:r w:rsidRPr="00EF7572">
              <w:rPr>
                <w:rFonts w:eastAsia="Calibri" w:cs="Times New Roman"/>
                <w:sz w:val="20"/>
                <w:szCs w:val="20"/>
                <w:lang w:val="uk-UA" w:eastAsia="uk-UA"/>
              </w:rPr>
              <w:t xml:space="preserve"> для всіх. Виклик стереотипам / Тамара Марценюк.- Київ : [Основи], 2017. 254 с.</w:t>
            </w:r>
          </w:p>
          <w:p w14:paraId="07F80A8A" w14:textId="77777777" w:rsidR="00EF7572" w:rsidRPr="00EF7572" w:rsidRDefault="00EF7572" w:rsidP="00EF7572">
            <w:pPr>
              <w:jc w:val="both"/>
              <w:rPr>
                <w:rStyle w:val="a4"/>
                <w:rFonts w:cs="Times New Roman"/>
                <w:sz w:val="20"/>
                <w:szCs w:val="20"/>
                <w:lang w:val="uk-UA"/>
              </w:rPr>
            </w:pPr>
            <w:r w:rsidRPr="00EF7572">
              <w:rPr>
                <w:rFonts w:cs="Times New Roman"/>
                <w:sz w:val="20"/>
                <w:szCs w:val="20"/>
                <w:lang w:val="uk-UA"/>
              </w:rPr>
              <w:t xml:space="preserve">Назаров, Н. К., &amp; Назарова, Г. В. (2024). Людський капітал: гендерні аспекти формування та регулювання. </w:t>
            </w:r>
            <w:hyperlink r:id="rId16" w:history="1">
              <w:r w:rsidRPr="00EF7572">
                <w:rPr>
                  <w:rStyle w:val="a4"/>
                  <w:rFonts w:cs="Times New Roman"/>
                  <w:sz w:val="20"/>
                  <w:szCs w:val="20"/>
                  <w:lang w:val="uk-UA"/>
                </w:rPr>
                <w:t>http://repository.hneu.edu.ua/handle/123456789/32738</w:t>
              </w:r>
            </w:hyperlink>
          </w:p>
          <w:p w14:paraId="557A8A91" w14:textId="1C990C60" w:rsidR="005E6286" w:rsidRPr="00EF7572" w:rsidRDefault="005E6286" w:rsidP="00EF7572">
            <w:pPr>
              <w:tabs>
                <w:tab w:val="left" w:pos="993"/>
              </w:tabs>
              <w:spacing w:after="160" w:line="259" w:lineRule="auto"/>
              <w:contextualSpacing/>
              <w:jc w:val="both"/>
              <w:rPr>
                <w:rFonts w:eastAsia="Times New Roman" w:cs="Times New Roman"/>
                <w:b/>
                <w:color w:val="000000"/>
                <w:sz w:val="20"/>
                <w:szCs w:val="20"/>
                <w:lang w:val="uk-UA" w:eastAsia="uk-UA"/>
              </w:rPr>
            </w:pPr>
            <w:r w:rsidRPr="00EF7572">
              <w:rPr>
                <w:rFonts w:eastAsia="Calibri" w:cs="Times New Roman"/>
                <w:sz w:val="20"/>
                <w:szCs w:val="20"/>
                <w:lang w:val="uk-UA" w:eastAsia="uk-UA"/>
              </w:rPr>
              <w:t xml:space="preserve">Гендерний моніторинг, Інститут масової інформації </w:t>
            </w:r>
            <w:hyperlink r:id="rId17" w:history="1">
              <w:r w:rsidRPr="00EF7572">
                <w:rPr>
                  <w:rFonts w:eastAsia="Calibri" w:cs="Times New Roman"/>
                  <w:color w:val="0000FF"/>
                  <w:sz w:val="20"/>
                  <w:szCs w:val="20"/>
                  <w:u w:val="single"/>
                  <w:lang w:val="uk-UA" w:eastAsia="uk-UA"/>
                </w:rPr>
                <w:t>http://imi.org.ua/gender_monitoring/</w:t>
              </w:r>
            </w:hyperlink>
          </w:p>
          <w:p w14:paraId="72FC7665" w14:textId="77777777" w:rsidR="00EF7572" w:rsidRPr="00EF7572" w:rsidRDefault="00EF7572" w:rsidP="00EF7572">
            <w:pPr>
              <w:tabs>
                <w:tab w:val="left" w:pos="993"/>
              </w:tabs>
              <w:spacing w:after="160" w:line="259" w:lineRule="auto"/>
              <w:contextualSpacing/>
              <w:jc w:val="both"/>
              <w:rPr>
                <w:rFonts w:eastAsia="Times New Roman" w:cs="Times New Roman"/>
                <w:color w:val="000000"/>
                <w:sz w:val="20"/>
                <w:szCs w:val="20"/>
                <w:lang w:val="uk-UA" w:eastAsia="uk-UA"/>
              </w:rPr>
            </w:pPr>
            <w:proofErr w:type="spellStart"/>
            <w:r w:rsidRPr="00EF7572">
              <w:rPr>
                <w:rFonts w:eastAsia="Times New Roman" w:cs="Times New Roman"/>
                <w:color w:val="000000"/>
                <w:sz w:val="20"/>
                <w:szCs w:val="20"/>
                <w:lang w:val="uk-UA" w:eastAsia="uk-UA"/>
              </w:rPr>
              <w:t>Кікінеджі</w:t>
            </w:r>
            <w:proofErr w:type="spellEnd"/>
            <w:r w:rsidRPr="00EF7572">
              <w:rPr>
                <w:rFonts w:eastAsia="Times New Roman" w:cs="Times New Roman"/>
                <w:color w:val="000000"/>
                <w:sz w:val="20"/>
                <w:szCs w:val="20"/>
                <w:lang w:val="uk-UA" w:eastAsia="uk-UA"/>
              </w:rPr>
              <w:t xml:space="preserve"> Н. Гендерна рівність в освіті: виклики та можливості. Львів: ЛНУ, 2020.</w:t>
            </w:r>
          </w:p>
          <w:p w14:paraId="27F6A721" w14:textId="339840D8" w:rsidR="005E6286" w:rsidRPr="005E6286" w:rsidRDefault="005E6286" w:rsidP="00EF7572">
            <w:pPr>
              <w:tabs>
                <w:tab w:val="left" w:pos="993"/>
              </w:tabs>
              <w:spacing w:after="160" w:line="259" w:lineRule="auto"/>
              <w:contextualSpacing/>
              <w:jc w:val="both"/>
              <w:rPr>
                <w:rFonts w:eastAsia="Times New Roman" w:cs="Times New Roman"/>
                <w:color w:val="000000"/>
                <w:sz w:val="20"/>
                <w:szCs w:val="20"/>
                <w:lang w:val="uk-UA" w:eastAsia="uk-UA"/>
              </w:rPr>
            </w:pPr>
            <w:proofErr w:type="spellStart"/>
            <w:r w:rsidRPr="00EF7572">
              <w:rPr>
                <w:rFonts w:eastAsia="Times New Roman" w:cs="Times New Roman"/>
                <w:color w:val="000000"/>
                <w:sz w:val="20"/>
                <w:szCs w:val="20"/>
                <w:lang w:val="uk-UA" w:eastAsia="uk-UA"/>
              </w:rPr>
              <w:lastRenderedPageBreak/>
              <w:t>Кісь</w:t>
            </w:r>
            <w:proofErr w:type="spellEnd"/>
            <w:r w:rsidRPr="00EF7572">
              <w:rPr>
                <w:rFonts w:eastAsia="Times New Roman" w:cs="Times New Roman"/>
                <w:color w:val="000000"/>
                <w:sz w:val="20"/>
                <w:szCs w:val="20"/>
                <w:lang w:val="uk-UA" w:eastAsia="uk-UA"/>
              </w:rPr>
              <w:t xml:space="preserve"> О. Сексизм у ЗМІ: </w:t>
            </w:r>
            <w:proofErr w:type="spellStart"/>
            <w:r w:rsidRPr="00EF7572">
              <w:rPr>
                <w:rFonts w:eastAsia="Times New Roman" w:cs="Times New Roman"/>
                <w:color w:val="000000"/>
                <w:sz w:val="20"/>
                <w:szCs w:val="20"/>
                <w:lang w:val="uk-UA" w:eastAsia="uk-UA"/>
              </w:rPr>
              <w:t>протидіючи</w:t>
            </w:r>
            <w:proofErr w:type="spellEnd"/>
            <w:r w:rsidRPr="00EF7572">
              <w:rPr>
                <w:rFonts w:eastAsia="Times New Roman" w:cs="Times New Roman"/>
                <w:color w:val="000000"/>
                <w:sz w:val="20"/>
                <w:szCs w:val="20"/>
                <w:lang w:val="uk-UA" w:eastAsia="uk-UA"/>
              </w:rPr>
              <w:t xml:space="preserve"> комунікативному потокові </w:t>
            </w:r>
            <w:hyperlink r:id="rId18" w:history="1">
              <w:r w:rsidRPr="00EF7572">
                <w:rPr>
                  <w:rFonts w:eastAsia="Times New Roman" w:cs="Times New Roman"/>
                  <w:color w:val="0000FF"/>
                  <w:sz w:val="20"/>
                  <w:szCs w:val="20"/>
                  <w:u w:val="single"/>
                  <w:lang w:val="uk-UA" w:eastAsia="uk-UA"/>
                </w:rPr>
                <w:t>http://gendermuseum.com/modules/stop_sx/i18.pdf</w:t>
              </w:r>
            </w:hyperlink>
          </w:p>
        </w:tc>
      </w:tr>
      <w:tr w:rsidR="005E6286" w:rsidRPr="005E6286" w14:paraId="000BDF21" w14:textId="77777777" w:rsidTr="00090149">
        <w:trPr>
          <w:trHeight w:val="470"/>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76838" w14:textId="77777777" w:rsidR="005E6286" w:rsidRPr="005E6286" w:rsidRDefault="005E6286" w:rsidP="005E6286">
            <w:pPr>
              <w:spacing w:line="259" w:lineRule="auto"/>
              <w:jc w:val="both"/>
              <w:rPr>
                <w:rFonts w:eastAsia="Times New Roman" w:cs="Times New Roman"/>
                <w:b/>
                <w:sz w:val="20"/>
                <w:szCs w:val="20"/>
                <w:lang w:val="uk-UA" w:eastAsia="uk-UA"/>
              </w:rPr>
            </w:pPr>
            <w:r w:rsidRPr="005E6286">
              <w:rPr>
                <w:rFonts w:eastAsia="Times New Roman" w:cs="Times New Roman"/>
                <w:b/>
                <w:sz w:val="20"/>
                <w:szCs w:val="20"/>
                <w:lang w:val="uk-UA" w:eastAsia="uk-UA"/>
              </w:rPr>
              <w:lastRenderedPageBreak/>
              <w:t>Обсяг дисципліни (години) та види занять</w:t>
            </w:r>
          </w:p>
        </w:tc>
        <w:tc>
          <w:tcPr>
            <w:tcW w:w="6265" w:type="dxa"/>
            <w:tcBorders>
              <w:top w:val="single" w:sz="4" w:space="0" w:color="000000"/>
              <w:left w:val="single" w:sz="4" w:space="0" w:color="000000"/>
              <w:right w:val="single" w:sz="4" w:space="0" w:color="000000"/>
            </w:tcBorders>
            <w:shd w:val="clear" w:color="auto" w:fill="auto"/>
            <w:vAlign w:val="center"/>
          </w:tcPr>
          <w:p w14:paraId="0535E7D7" w14:textId="77777777" w:rsidR="005E6286" w:rsidRPr="005E6286" w:rsidRDefault="005E6286" w:rsidP="005E6286">
            <w:pPr>
              <w:spacing w:line="259" w:lineRule="auto"/>
              <w:jc w:val="both"/>
              <w:rPr>
                <w:rFonts w:eastAsia="Times New Roman" w:cs="Times New Roman"/>
                <w:sz w:val="20"/>
                <w:szCs w:val="20"/>
                <w:lang w:val="uk-UA" w:eastAsia="uk-UA"/>
              </w:rPr>
            </w:pPr>
            <w:r w:rsidRPr="005E6286">
              <w:rPr>
                <w:rFonts w:eastAsia="Times New Roman" w:cs="Times New Roman"/>
                <w:sz w:val="20"/>
                <w:szCs w:val="20"/>
                <w:lang w:val="uk-UA" w:eastAsia="uk-UA"/>
              </w:rPr>
              <w:t>Лекційні заняття (20 год.), семінарські заняття (20 год.),</w:t>
            </w:r>
            <w:r w:rsidRPr="005E6286">
              <w:rPr>
                <w:rFonts w:eastAsia="Times New Roman" w:cs="Times New Roman"/>
                <w:b/>
                <w:sz w:val="20"/>
                <w:szCs w:val="20"/>
                <w:lang w:val="uk-UA" w:eastAsia="uk-UA"/>
              </w:rPr>
              <w:t xml:space="preserve"> </w:t>
            </w:r>
            <w:r w:rsidRPr="005E6286">
              <w:rPr>
                <w:rFonts w:eastAsia="Times New Roman" w:cs="Times New Roman"/>
                <w:sz w:val="20"/>
                <w:szCs w:val="20"/>
                <w:lang w:val="uk-UA" w:eastAsia="uk-UA"/>
              </w:rPr>
              <w:t xml:space="preserve">самостійна робота (80 год.); </w:t>
            </w:r>
          </w:p>
        </w:tc>
      </w:tr>
      <w:tr w:rsidR="005E6286" w:rsidRPr="005E6286" w14:paraId="27B77B09" w14:textId="77777777" w:rsidTr="00090149">
        <w:trPr>
          <w:trHeight w:val="470"/>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B950E" w14:textId="77777777" w:rsidR="005E6286" w:rsidRPr="005E6286" w:rsidRDefault="005E6286" w:rsidP="005E6286">
            <w:pPr>
              <w:spacing w:line="259" w:lineRule="auto"/>
              <w:jc w:val="both"/>
              <w:rPr>
                <w:rFonts w:eastAsia="Times New Roman" w:cs="Times New Roman"/>
                <w:b/>
                <w:sz w:val="20"/>
                <w:szCs w:val="20"/>
                <w:lang w:val="uk-UA" w:eastAsia="uk-UA"/>
              </w:rPr>
            </w:pPr>
            <w:r w:rsidRPr="005E6286">
              <w:rPr>
                <w:rFonts w:eastAsia="Times New Roman" w:cs="Times New Roman"/>
                <w:b/>
                <w:sz w:val="20"/>
                <w:szCs w:val="20"/>
                <w:lang w:val="uk-UA" w:eastAsia="uk-UA"/>
              </w:rPr>
              <w:t>Система оцінювання результатів навчання</w:t>
            </w:r>
          </w:p>
        </w:tc>
        <w:tc>
          <w:tcPr>
            <w:tcW w:w="6265" w:type="dxa"/>
            <w:tcBorders>
              <w:top w:val="single" w:sz="4" w:space="0" w:color="000000"/>
              <w:left w:val="single" w:sz="4" w:space="0" w:color="000000"/>
              <w:right w:val="single" w:sz="4" w:space="0" w:color="000000"/>
            </w:tcBorders>
            <w:shd w:val="clear" w:color="auto" w:fill="auto"/>
            <w:vAlign w:val="center"/>
          </w:tcPr>
          <w:p w14:paraId="3A123066" w14:textId="77777777" w:rsidR="005E6286" w:rsidRPr="005E6286" w:rsidRDefault="005E6286" w:rsidP="005E6286">
            <w:pPr>
              <w:tabs>
                <w:tab w:val="left" w:pos="445"/>
              </w:tabs>
              <w:spacing w:line="259" w:lineRule="auto"/>
              <w:jc w:val="both"/>
              <w:rPr>
                <w:rFonts w:eastAsia="Times New Roman" w:cs="Times New Roman"/>
                <w:sz w:val="20"/>
                <w:szCs w:val="20"/>
                <w:lang w:val="uk-UA" w:eastAsia="uk-UA"/>
              </w:rPr>
            </w:pPr>
            <w:r w:rsidRPr="005E6286">
              <w:rPr>
                <w:rFonts w:eastAsia="Times New Roman" w:cs="Times New Roman"/>
                <w:sz w:val="20"/>
                <w:szCs w:val="20"/>
                <w:lang w:val="uk-UA" w:eastAsia="uk-UA"/>
              </w:rPr>
              <w:t>Основними методами контролю</w:t>
            </w:r>
            <w:r w:rsidRPr="005E6286">
              <w:rPr>
                <w:rFonts w:eastAsia="Times New Roman" w:cs="Times New Roman"/>
                <w:sz w:val="20"/>
                <w:szCs w:val="20"/>
                <w:u w:val="single"/>
                <w:lang w:val="uk-UA" w:eastAsia="uk-UA"/>
              </w:rPr>
              <w:t xml:space="preserve"> </w:t>
            </w:r>
            <w:r w:rsidRPr="005E6286">
              <w:rPr>
                <w:rFonts w:eastAsia="Times New Roman" w:cs="Times New Roman"/>
                <w:sz w:val="20"/>
                <w:szCs w:val="20"/>
                <w:lang w:val="uk-UA" w:eastAsia="uk-UA"/>
              </w:rPr>
              <w:t>відповідно до критеріїв оцінювання знань здобувачів освіти та ефективності засвоєння ними курсу ґрунтується на таких формах участі студентів у навчальному процесі, які підлягають поточному контролю: виступ з основного питання на семінарському занятті, аналітична робота, модульна контрольна, самостійна робота (аналітичне завдання).</w:t>
            </w:r>
          </w:p>
          <w:p w14:paraId="66D79943" w14:textId="77777777" w:rsidR="005E6286" w:rsidRPr="005E6286" w:rsidRDefault="005E6286" w:rsidP="005E6286">
            <w:pPr>
              <w:tabs>
                <w:tab w:val="left" w:pos="445"/>
              </w:tabs>
              <w:spacing w:line="259" w:lineRule="auto"/>
              <w:jc w:val="both"/>
              <w:rPr>
                <w:rFonts w:eastAsia="Times New Roman" w:cs="Times New Roman"/>
                <w:sz w:val="20"/>
                <w:szCs w:val="20"/>
                <w:lang w:val="uk-UA" w:eastAsia="uk-UA"/>
              </w:rPr>
            </w:pPr>
            <w:r w:rsidRPr="005E6286">
              <w:rPr>
                <w:rFonts w:eastAsia="Times New Roman" w:cs="Times New Roman"/>
                <w:sz w:val="20"/>
                <w:szCs w:val="20"/>
                <w:lang w:val="uk-UA" w:eastAsia="uk-UA"/>
              </w:rPr>
              <w:t>Підсумкова оцінка є арифметичною сумою балів за поточний контроль, модульну контрольну роботу, виконання самостійної роботи.</w:t>
            </w:r>
          </w:p>
          <w:p w14:paraId="781F81DE" w14:textId="77777777" w:rsidR="005E6286" w:rsidRPr="005E6286" w:rsidRDefault="005E6286" w:rsidP="005E6286">
            <w:pPr>
              <w:widowControl w:val="0"/>
              <w:ind w:firstLine="709"/>
              <w:jc w:val="center"/>
              <w:rPr>
                <w:rFonts w:eastAsia="Times New Roman" w:cs="Times New Roman"/>
                <w:sz w:val="20"/>
                <w:szCs w:val="20"/>
                <w:lang w:val="uk-UA" w:eastAsia="uk-UA"/>
              </w:rPr>
            </w:pPr>
            <w:r w:rsidRPr="005E6286">
              <w:rPr>
                <w:rFonts w:eastAsia="Times New Roman" w:cs="Times New Roman"/>
                <w:sz w:val="20"/>
                <w:szCs w:val="20"/>
                <w:lang w:val="uk-UA" w:eastAsia="uk-UA"/>
              </w:rPr>
              <w:t>Розподіл балів, які отримують студенти</w:t>
            </w:r>
          </w:p>
          <w:tbl>
            <w:tblPr>
              <w:tblW w:w="6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5"/>
              <w:gridCol w:w="1365"/>
              <w:gridCol w:w="2235"/>
              <w:gridCol w:w="1200"/>
            </w:tblGrid>
            <w:tr w:rsidR="005E6286" w:rsidRPr="005E6286" w14:paraId="4CFAA0D6" w14:textId="77777777" w:rsidTr="00090149">
              <w:tc>
                <w:tcPr>
                  <w:tcW w:w="4815" w:type="dxa"/>
                  <w:gridSpan w:val="3"/>
                  <w:vAlign w:val="center"/>
                </w:tcPr>
                <w:p w14:paraId="6BC61C61" w14:textId="77777777" w:rsidR="005E6286" w:rsidRPr="005E6286" w:rsidRDefault="005E6286" w:rsidP="005E6286">
                  <w:pPr>
                    <w:widowControl w:val="0"/>
                    <w:jc w:val="center"/>
                    <w:rPr>
                      <w:rFonts w:eastAsia="Times New Roman" w:cs="Times New Roman"/>
                      <w:sz w:val="20"/>
                      <w:szCs w:val="20"/>
                      <w:lang w:val="uk-UA" w:eastAsia="uk-UA"/>
                    </w:rPr>
                  </w:pPr>
                  <w:r w:rsidRPr="005E6286">
                    <w:rPr>
                      <w:rFonts w:eastAsia="Times New Roman" w:cs="Times New Roman"/>
                      <w:sz w:val="20"/>
                      <w:szCs w:val="20"/>
                      <w:lang w:val="uk-UA" w:eastAsia="uk-UA"/>
                    </w:rPr>
                    <w:t>Поточний і модульний контроль – 100 балів</w:t>
                  </w:r>
                </w:p>
              </w:tc>
              <w:tc>
                <w:tcPr>
                  <w:tcW w:w="1200" w:type="dxa"/>
                  <w:vMerge w:val="restart"/>
                  <w:vAlign w:val="center"/>
                </w:tcPr>
                <w:p w14:paraId="2A3BA376" w14:textId="77777777" w:rsidR="005E6286" w:rsidRPr="005E6286" w:rsidRDefault="005E6286" w:rsidP="005E6286">
                  <w:pPr>
                    <w:widowControl w:val="0"/>
                    <w:jc w:val="center"/>
                    <w:rPr>
                      <w:rFonts w:eastAsia="Times New Roman" w:cs="Times New Roman"/>
                      <w:b/>
                      <w:sz w:val="20"/>
                      <w:szCs w:val="20"/>
                      <w:lang w:val="uk-UA" w:eastAsia="uk-UA"/>
                    </w:rPr>
                  </w:pPr>
                  <w:r w:rsidRPr="005E6286">
                    <w:rPr>
                      <w:rFonts w:eastAsia="Times New Roman" w:cs="Times New Roman"/>
                      <w:sz w:val="20"/>
                      <w:szCs w:val="20"/>
                      <w:lang w:val="uk-UA" w:eastAsia="uk-UA"/>
                    </w:rPr>
                    <w:t>Сума балів</w:t>
                  </w:r>
                </w:p>
              </w:tc>
            </w:tr>
            <w:tr w:rsidR="005E6286" w:rsidRPr="005E6286" w14:paraId="03BAAE32" w14:textId="77777777" w:rsidTr="00090149">
              <w:tc>
                <w:tcPr>
                  <w:tcW w:w="1215" w:type="dxa"/>
                  <w:tcBorders>
                    <w:bottom w:val="single" w:sz="4" w:space="0" w:color="000000"/>
                  </w:tcBorders>
                  <w:vAlign w:val="center"/>
                </w:tcPr>
                <w:p w14:paraId="45F909B5" w14:textId="77777777" w:rsidR="005E6286" w:rsidRPr="005E6286" w:rsidRDefault="005E6286" w:rsidP="005E6286">
                  <w:pPr>
                    <w:widowControl w:val="0"/>
                    <w:jc w:val="center"/>
                    <w:rPr>
                      <w:rFonts w:eastAsia="Times New Roman" w:cs="Times New Roman"/>
                      <w:b/>
                      <w:sz w:val="20"/>
                      <w:szCs w:val="20"/>
                      <w:lang w:val="uk-UA" w:eastAsia="uk-UA"/>
                    </w:rPr>
                  </w:pPr>
                  <w:r w:rsidRPr="005E6286">
                    <w:rPr>
                      <w:rFonts w:eastAsia="Times New Roman" w:cs="Times New Roman"/>
                      <w:sz w:val="20"/>
                      <w:szCs w:val="20"/>
                      <w:lang w:val="uk-UA" w:eastAsia="uk-UA"/>
                    </w:rPr>
                    <w:t>Поточний контроль</w:t>
                  </w:r>
                </w:p>
              </w:tc>
              <w:tc>
                <w:tcPr>
                  <w:tcW w:w="1365" w:type="dxa"/>
                  <w:tcBorders>
                    <w:bottom w:val="single" w:sz="4" w:space="0" w:color="000000"/>
                  </w:tcBorders>
                  <w:vAlign w:val="center"/>
                </w:tcPr>
                <w:p w14:paraId="7DF64808" w14:textId="77777777" w:rsidR="005E6286" w:rsidRPr="005E6286" w:rsidRDefault="005E6286" w:rsidP="005E6286">
                  <w:pPr>
                    <w:widowControl w:val="0"/>
                    <w:jc w:val="center"/>
                    <w:rPr>
                      <w:rFonts w:eastAsia="Times New Roman" w:cs="Times New Roman"/>
                      <w:b/>
                      <w:sz w:val="20"/>
                      <w:szCs w:val="20"/>
                      <w:lang w:val="uk-UA" w:eastAsia="uk-UA"/>
                    </w:rPr>
                  </w:pPr>
                  <w:r w:rsidRPr="005E6286">
                    <w:rPr>
                      <w:rFonts w:eastAsia="Times New Roman" w:cs="Times New Roman"/>
                      <w:sz w:val="20"/>
                      <w:szCs w:val="20"/>
                      <w:lang w:val="uk-UA" w:eastAsia="uk-UA"/>
                    </w:rPr>
                    <w:t>Самостійна робота</w:t>
                  </w:r>
                </w:p>
              </w:tc>
              <w:tc>
                <w:tcPr>
                  <w:tcW w:w="2235" w:type="dxa"/>
                  <w:tcBorders>
                    <w:bottom w:val="single" w:sz="4" w:space="0" w:color="000000"/>
                  </w:tcBorders>
                  <w:vAlign w:val="center"/>
                </w:tcPr>
                <w:p w14:paraId="6C364E98" w14:textId="77777777" w:rsidR="005E6286" w:rsidRPr="005E6286" w:rsidRDefault="005E6286" w:rsidP="005E6286">
                  <w:pPr>
                    <w:widowControl w:val="0"/>
                    <w:jc w:val="center"/>
                    <w:rPr>
                      <w:rFonts w:eastAsia="Times New Roman" w:cs="Times New Roman"/>
                      <w:b/>
                      <w:sz w:val="20"/>
                      <w:szCs w:val="20"/>
                      <w:lang w:val="uk-UA" w:eastAsia="uk-UA"/>
                    </w:rPr>
                  </w:pPr>
                  <w:r w:rsidRPr="005E6286">
                    <w:rPr>
                      <w:rFonts w:eastAsia="Times New Roman" w:cs="Times New Roman"/>
                      <w:sz w:val="20"/>
                      <w:szCs w:val="20"/>
                      <w:lang w:val="uk-UA" w:eastAsia="uk-UA"/>
                    </w:rPr>
                    <w:t>МКР</w:t>
                  </w:r>
                </w:p>
              </w:tc>
              <w:tc>
                <w:tcPr>
                  <w:tcW w:w="1200" w:type="dxa"/>
                  <w:vMerge/>
                  <w:vAlign w:val="center"/>
                </w:tcPr>
                <w:p w14:paraId="7A720870" w14:textId="77777777" w:rsidR="005E6286" w:rsidRPr="005E6286" w:rsidRDefault="005E6286" w:rsidP="005E6286">
                  <w:pPr>
                    <w:widowControl w:val="0"/>
                    <w:spacing w:line="276" w:lineRule="auto"/>
                    <w:rPr>
                      <w:rFonts w:eastAsia="Times New Roman" w:cs="Times New Roman"/>
                      <w:b/>
                      <w:sz w:val="20"/>
                      <w:szCs w:val="20"/>
                      <w:lang w:val="uk-UA" w:eastAsia="uk-UA"/>
                    </w:rPr>
                  </w:pPr>
                </w:p>
              </w:tc>
            </w:tr>
            <w:tr w:rsidR="005E6286" w:rsidRPr="005E6286" w14:paraId="625096D1" w14:textId="77777777" w:rsidTr="00090149">
              <w:tc>
                <w:tcPr>
                  <w:tcW w:w="1215" w:type="dxa"/>
                  <w:tcBorders>
                    <w:bottom w:val="single" w:sz="4" w:space="0" w:color="000000"/>
                  </w:tcBorders>
                  <w:vAlign w:val="center"/>
                </w:tcPr>
                <w:p w14:paraId="2BB9713B" w14:textId="77777777" w:rsidR="005E6286" w:rsidRPr="005E6286" w:rsidRDefault="005E6286" w:rsidP="005E6286">
                  <w:pPr>
                    <w:widowControl w:val="0"/>
                    <w:jc w:val="center"/>
                    <w:rPr>
                      <w:rFonts w:eastAsia="Times New Roman" w:cs="Times New Roman"/>
                      <w:sz w:val="20"/>
                      <w:szCs w:val="20"/>
                      <w:lang w:val="uk-UA" w:eastAsia="uk-UA"/>
                    </w:rPr>
                  </w:pPr>
                  <w:r w:rsidRPr="005E6286">
                    <w:rPr>
                      <w:rFonts w:eastAsia="Times New Roman" w:cs="Times New Roman"/>
                      <w:sz w:val="20"/>
                      <w:szCs w:val="20"/>
                      <w:lang w:val="uk-UA" w:eastAsia="uk-UA"/>
                    </w:rPr>
                    <w:t>45</w:t>
                  </w:r>
                </w:p>
              </w:tc>
              <w:tc>
                <w:tcPr>
                  <w:tcW w:w="1365" w:type="dxa"/>
                  <w:tcBorders>
                    <w:bottom w:val="single" w:sz="4" w:space="0" w:color="000000"/>
                  </w:tcBorders>
                  <w:vAlign w:val="center"/>
                </w:tcPr>
                <w:p w14:paraId="0439BFB3" w14:textId="77777777" w:rsidR="005E6286" w:rsidRPr="005E6286" w:rsidRDefault="005E6286" w:rsidP="005E6286">
                  <w:pPr>
                    <w:widowControl w:val="0"/>
                    <w:jc w:val="center"/>
                    <w:rPr>
                      <w:rFonts w:eastAsia="Times New Roman" w:cs="Times New Roman"/>
                      <w:sz w:val="20"/>
                      <w:szCs w:val="20"/>
                      <w:lang w:val="uk-UA" w:eastAsia="uk-UA"/>
                    </w:rPr>
                  </w:pPr>
                  <w:r w:rsidRPr="005E6286">
                    <w:rPr>
                      <w:rFonts w:eastAsia="Times New Roman" w:cs="Times New Roman"/>
                      <w:sz w:val="20"/>
                      <w:szCs w:val="20"/>
                      <w:lang w:val="uk-UA" w:eastAsia="uk-UA"/>
                    </w:rPr>
                    <w:t>10</w:t>
                  </w:r>
                </w:p>
              </w:tc>
              <w:tc>
                <w:tcPr>
                  <w:tcW w:w="2235" w:type="dxa"/>
                  <w:tcBorders>
                    <w:bottom w:val="single" w:sz="4" w:space="0" w:color="000000"/>
                  </w:tcBorders>
                  <w:vAlign w:val="center"/>
                </w:tcPr>
                <w:p w14:paraId="367BF2A5" w14:textId="77777777" w:rsidR="005E6286" w:rsidRPr="005E6286" w:rsidRDefault="005E6286" w:rsidP="005E6286">
                  <w:pPr>
                    <w:widowControl w:val="0"/>
                    <w:jc w:val="center"/>
                    <w:rPr>
                      <w:rFonts w:eastAsia="Times New Roman" w:cs="Times New Roman"/>
                      <w:sz w:val="20"/>
                      <w:szCs w:val="20"/>
                      <w:lang w:val="uk-UA" w:eastAsia="uk-UA"/>
                    </w:rPr>
                  </w:pPr>
                  <w:r w:rsidRPr="005E6286">
                    <w:rPr>
                      <w:rFonts w:eastAsia="Times New Roman" w:cs="Times New Roman"/>
                      <w:sz w:val="20"/>
                      <w:szCs w:val="20"/>
                      <w:lang w:val="uk-UA" w:eastAsia="uk-UA"/>
                    </w:rPr>
                    <w:t>45</w:t>
                  </w:r>
                </w:p>
              </w:tc>
              <w:tc>
                <w:tcPr>
                  <w:tcW w:w="1200" w:type="dxa"/>
                  <w:tcBorders>
                    <w:bottom w:val="single" w:sz="4" w:space="0" w:color="000000"/>
                  </w:tcBorders>
                </w:tcPr>
                <w:p w14:paraId="4C187BC2" w14:textId="77777777" w:rsidR="005E6286" w:rsidRPr="005E6286" w:rsidRDefault="005E6286" w:rsidP="005E6286">
                  <w:pPr>
                    <w:widowControl w:val="0"/>
                    <w:jc w:val="center"/>
                    <w:rPr>
                      <w:rFonts w:eastAsia="Times New Roman" w:cs="Times New Roman"/>
                      <w:b/>
                      <w:sz w:val="20"/>
                      <w:szCs w:val="20"/>
                      <w:lang w:val="uk-UA" w:eastAsia="uk-UA"/>
                    </w:rPr>
                  </w:pPr>
                  <w:r w:rsidRPr="005E6286">
                    <w:rPr>
                      <w:rFonts w:eastAsia="Times New Roman" w:cs="Times New Roman"/>
                      <w:b/>
                      <w:sz w:val="20"/>
                      <w:szCs w:val="20"/>
                      <w:lang w:val="uk-UA" w:eastAsia="uk-UA"/>
                    </w:rPr>
                    <w:t>100</w:t>
                  </w:r>
                </w:p>
              </w:tc>
            </w:tr>
          </w:tbl>
          <w:p w14:paraId="48B6CBDB" w14:textId="77777777" w:rsidR="005E6286" w:rsidRPr="005E6286" w:rsidRDefault="005E6286" w:rsidP="005E6286">
            <w:pPr>
              <w:spacing w:line="259" w:lineRule="auto"/>
              <w:jc w:val="both"/>
              <w:rPr>
                <w:rFonts w:eastAsia="Times New Roman" w:cs="Times New Roman"/>
                <w:sz w:val="20"/>
                <w:szCs w:val="20"/>
                <w:lang w:val="uk-UA" w:eastAsia="uk-UA"/>
              </w:rPr>
            </w:pPr>
          </w:p>
        </w:tc>
      </w:tr>
      <w:tr w:rsidR="005E6286" w:rsidRPr="00662110" w14:paraId="54542268" w14:textId="77777777" w:rsidTr="00090149">
        <w:trPr>
          <w:trHeight w:val="17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7C004" w14:textId="77777777" w:rsidR="005E6286" w:rsidRPr="005E6286" w:rsidRDefault="005E6286" w:rsidP="005E6286">
            <w:pPr>
              <w:spacing w:line="259" w:lineRule="auto"/>
              <w:jc w:val="both"/>
              <w:rPr>
                <w:rFonts w:eastAsia="Times New Roman" w:cs="Times New Roman"/>
                <w:b/>
                <w:sz w:val="20"/>
                <w:szCs w:val="20"/>
                <w:lang w:val="uk-UA" w:eastAsia="uk-UA"/>
              </w:rPr>
            </w:pPr>
            <w:r w:rsidRPr="005E6286">
              <w:rPr>
                <w:rFonts w:eastAsia="Times New Roman" w:cs="Times New Roman"/>
                <w:b/>
                <w:sz w:val="20"/>
                <w:szCs w:val="20"/>
                <w:lang w:val="uk-UA" w:eastAsia="uk-UA"/>
              </w:rPr>
              <w:t>Критерії оцінювання знань, умінь, навичок студентів</w:t>
            </w:r>
          </w:p>
          <w:p w14:paraId="6F8E38AF" w14:textId="77777777" w:rsidR="005E6286" w:rsidRPr="005E6286" w:rsidRDefault="005E6286" w:rsidP="005E6286">
            <w:pPr>
              <w:spacing w:line="259" w:lineRule="auto"/>
              <w:jc w:val="both"/>
              <w:rPr>
                <w:rFonts w:eastAsia="Times New Roman" w:cs="Times New Roman"/>
                <w:b/>
                <w:sz w:val="20"/>
                <w:szCs w:val="20"/>
                <w:lang w:val="uk-UA" w:eastAsia="uk-UA"/>
              </w:rPr>
            </w:pPr>
            <w:r w:rsidRPr="005E6286">
              <w:rPr>
                <w:rFonts w:eastAsia="Times New Roman" w:cs="Times New Roman"/>
                <w:b/>
                <w:sz w:val="20"/>
                <w:szCs w:val="20"/>
                <w:lang w:val="uk-UA" w:eastAsia="uk-UA"/>
              </w:rPr>
              <w:t>на навчальних заняттях</w:t>
            </w:r>
          </w:p>
        </w:tc>
        <w:tc>
          <w:tcPr>
            <w:tcW w:w="6265" w:type="dxa"/>
            <w:tcBorders>
              <w:top w:val="single" w:sz="4" w:space="0" w:color="000000"/>
              <w:left w:val="single" w:sz="4" w:space="0" w:color="000000"/>
              <w:right w:val="single" w:sz="4" w:space="0" w:color="000000"/>
            </w:tcBorders>
            <w:shd w:val="clear" w:color="auto" w:fill="auto"/>
            <w:vAlign w:val="center"/>
          </w:tcPr>
          <w:p w14:paraId="3E218C9B" w14:textId="77777777" w:rsidR="005E6286" w:rsidRPr="005E6286" w:rsidRDefault="005E6286" w:rsidP="005E6286">
            <w:pPr>
              <w:spacing w:line="259" w:lineRule="auto"/>
              <w:jc w:val="both"/>
              <w:rPr>
                <w:rFonts w:eastAsia="Times New Roman" w:cs="Times New Roman"/>
                <w:sz w:val="20"/>
                <w:szCs w:val="20"/>
                <w:lang w:val="uk-UA" w:eastAsia="uk-UA"/>
              </w:rPr>
            </w:pPr>
            <w:r w:rsidRPr="005E6286">
              <w:rPr>
                <w:rFonts w:eastAsia="Times New Roman" w:cs="Times New Roman"/>
                <w:sz w:val="20"/>
                <w:szCs w:val="20"/>
                <w:lang w:val="uk-UA" w:eastAsia="uk-UA"/>
              </w:rPr>
              <w:t xml:space="preserve">Оцінювання на семінарських заняттях відбувається за 12 бальною системою відповідно до критеріїв визначених «Положенням про рейтингову систему оцінювання навчальних досягнень здобувачів вищої освіти Кам’янець-Подільського національного університету імені Івана Огієнка». </w:t>
            </w:r>
          </w:p>
          <w:p w14:paraId="281BFA0A" w14:textId="77777777" w:rsidR="005E6286" w:rsidRPr="005E6286" w:rsidRDefault="005E6286" w:rsidP="005E6286">
            <w:pPr>
              <w:spacing w:line="259" w:lineRule="auto"/>
              <w:jc w:val="both"/>
              <w:rPr>
                <w:rFonts w:eastAsia="Times New Roman" w:cs="Times New Roman"/>
                <w:sz w:val="20"/>
                <w:szCs w:val="20"/>
                <w:lang w:val="uk-UA" w:eastAsia="uk-UA"/>
              </w:rPr>
            </w:pPr>
            <w:r w:rsidRPr="005E6286">
              <w:rPr>
                <w:rFonts w:eastAsia="Times New Roman" w:cs="Times New Roman"/>
                <w:sz w:val="20"/>
                <w:szCs w:val="20"/>
                <w:lang w:val="uk-UA" w:eastAsia="uk-UA"/>
              </w:rPr>
              <w:t xml:space="preserve">URL: </w:t>
            </w:r>
            <w:hyperlink r:id="rId19">
              <w:r w:rsidRPr="005E6286">
                <w:rPr>
                  <w:rFonts w:eastAsia="Times New Roman" w:cs="Times New Roman"/>
                  <w:color w:val="1155CC"/>
                  <w:sz w:val="20"/>
                  <w:szCs w:val="20"/>
                  <w:u w:val="single"/>
                  <w:lang w:val="uk-UA" w:eastAsia="uk-UA"/>
                </w:rPr>
                <w:t>https://drive.google.com/file/d/1ZbMN35h-7ZSJBBOVvL2bTCaLtRbcQA86/view</w:t>
              </w:r>
            </w:hyperlink>
          </w:p>
        </w:tc>
      </w:tr>
      <w:tr w:rsidR="005E6286" w:rsidRPr="005E6286" w14:paraId="2F71B46E"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C247"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Поточний контроль</w:t>
            </w:r>
          </w:p>
        </w:tc>
        <w:tc>
          <w:tcPr>
            <w:tcW w:w="6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1F71B" w14:textId="77777777" w:rsidR="005E6286" w:rsidRPr="005E6286" w:rsidRDefault="005E6286" w:rsidP="005E6286">
            <w:pPr>
              <w:spacing w:line="259" w:lineRule="auto"/>
              <w:rPr>
                <w:rFonts w:eastAsia="Times New Roman" w:cs="Times New Roman"/>
                <w:sz w:val="20"/>
                <w:szCs w:val="20"/>
                <w:lang w:val="uk-UA" w:eastAsia="uk-UA"/>
              </w:rPr>
            </w:pPr>
            <w:r w:rsidRPr="005E6286">
              <w:rPr>
                <w:rFonts w:eastAsia="Times New Roman" w:cs="Times New Roman"/>
                <w:sz w:val="20"/>
                <w:szCs w:val="20"/>
                <w:lang w:val="uk-UA" w:eastAsia="uk-UA"/>
              </w:rPr>
              <w:t>Усне опитування, письмовий контроль, виконання самостійної роботи, модульна контрольна робота</w:t>
            </w:r>
          </w:p>
        </w:tc>
      </w:tr>
      <w:tr w:rsidR="005E6286" w:rsidRPr="005E6286" w14:paraId="206BC460"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3AFD6"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Підсумковий контроль</w:t>
            </w:r>
          </w:p>
        </w:tc>
        <w:tc>
          <w:tcPr>
            <w:tcW w:w="6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D7058" w14:textId="77777777" w:rsidR="005E6286" w:rsidRPr="005E6286" w:rsidRDefault="005E6286" w:rsidP="005E6286">
            <w:pPr>
              <w:spacing w:line="259" w:lineRule="auto"/>
              <w:rPr>
                <w:rFonts w:eastAsia="Times New Roman" w:cs="Times New Roman"/>
                <w:b/>
                <w:bCs/>
                <w:color w:val="FF0000"/>
                <w:sz w:val="20"/>
                <w:szCs w:val="20"/>
                <w:lang w:val="uk-UA" w:eastAsia="uk-UA"/>
              </w:rPr>
            </w:pPr>
            <w:r w:rsidRPr="005E6286">
              <w:rPr>
                <w:rFonts w:eastAsia="Times New Roman" w:cs="Times New Roman"/>
                <w:b/>
                <w:bCs/>
                <w:sz w:val="20"/>
                <w:szCs w:val="20"/>
                <w:lang w:val="uk-UA" w:eastAsia="uk-UA"/>
              </w:rPr>
              <w:t>залік</w:t>
            </w:r>
          </w:p>
        </w:tc>
      </w:tr>
      <w:tr w:rsidR="005E6286" w:rsidRPr="00662110" w14:paraId="4C16C13C" w14:textId="77777777" w:rsidTr="00090149">
        <w:trPr>
          <w:trHeight w:val="55"/>
        </w:trPr>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959A2" w14:textId="77777777" w:rsidR="005E6286" w:rsidRPr="005E6286" w:rsidRDefault="005E6286" w:rsidP="005E6286">
            <w:pPr>
              <w:spacing w:line="259" w:lineRule="auto"/>
              <w:rPr>
                <w:rFonts w:eastAsia="Times New Roman" w:cs="Times New Roman"/>
                <w:b/>
                <w:sz w:val="20"/>
                <w:szCs w:val="20"/>
                <w:lang w:val="uk-UA" w:eastAsia="uk-UA"/>
              </w:rPr>
            </w:pPr>
            <w:r w:rsidRPr="005E6286">
              <w:rPr>
                <w:rFonts w:eastAsia="Times New Roman" w:cs="Times New Roman"/>
                <w:b/>
                <w:sz w:val="20"/>
                <w:szCs w:val="20"/>
                <w:lang w:val="uk-UA" w:eastAsia="uk-UA"/>
              </w:rPr>
              <w:t>Локація</w:t>
            </w:r>
          </w:p>
        </w:tc>
        <w:tc>
          <w:tcPr>
            <w:tcW w:w="6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095FC" w14:textId="77777777" w:rsidR="005E6286" w:rsidRPr="005E6286" w:rsidRDefault="005E6286" w:rsidP="005E6286">
            <w:pPr>
              <w:spacing w:line="259" w:lineRule="auto"/>
              <w:rPr>
                <w:rFonts w:eastAsia="Times New Roman" w:cs="Times New Roman"/>
                <w:sz w:val="20"/>
                <w:szCs w:val="20"/>
                <w:lang w:val="uk-UA" w:eastAsia="uk-UA"/>
              </w:rPr>
            </w:pPr>
            <w:r w:rsidRPr="005E6286">
              <w:rPr>
                <w:rFonts w:eastAsia="Times New Roman" w:cs="Times New Roman"/>
                <w:sz w:val="20"/>
                <w:szCs w:val="20"/>
                <w:lang w:val="uk-UA" w:eastAsia="uk-UA"/>
              </w:rPr>
              <w:t xml:space="preserve">URL: </w:t>
            </w:r>
            <w:hyperlink r:id="rId20" w:history="1">
              <w:r w:rsidRPr="005E6286">
                <w:rPr>
                  <w:rFonts w:eastAsia="Times New Roman" w:cs="Times New Roman"/>
                  <w:color w:val="0000FF"/>
                  <w:sz w:val="20"/>
                  <w:szCs w:val="20"/>
                  <w:u w:val="single"/>
                  <w:lang w:val="uk-UA" w:eastAsia="uk-UA"/>
                </w:rPr>
                <w:t>https://kpnu.edu.ua/rozklad-zaniat/</w:t>
              </w:r>
            </w:hyperlink>
          </w:p>
        </w:tc>
      </w:tr>
    </w:tbl>
    <w:p w14:paraId="1FFFE8B9" w14:textId="77777777" w:rsidR="005E6286" w:rsidRPr="005E6286" w:rsidRDefault="005E6286" w:rsidP="005E6286">
      <w:pPr>
        <w:spacing w:line="300" w:lineRule="auto"/>
        <w:ind w:firstLine="567"/>
        <w:jc w:val="both"/>
        <w:rPr>
          <w:rFonts w:eastAsia="Times New Roman" w:cs="Times New Roman"/>
          <w:sz w:val="20"/>
          <w:szCs w:val="20"/>
          <w:lang w:val="uk-UA" w:eastAsia="uk-UA"/>
        </w:rPr>
      </w:pPr>
    </w:p>
    <w:p w14:paraId="378FD773" w14:textId="77777777" w:rsidR="005E6286" w:rsidRPr="005E6286" w:rsidRDefault="005E6286" w:rsidP="005E6286">
      <w:pPr>
        <w:spacing w:after="160" w:line="259" w:lineRule="auto"/>
        <w:rPr>
          <w:rFonts w:eastAsia="Times New Roman" w:cs="Times New Roman"/>
          <w:sz w:val="20"/>
          <w:szCs w:val="20"/>
          <w:lang w:val="uk-UA" w:eastAsia="uk-UA"/>
        </w:rPr>
      </w:pPr>
    </w:p>
    <w:p w14:paraId="2449333E" w14:textId="77777777" w:rsidR="005E6286" w:rsidRPr="005E6286" w:rsidRDefault="005E6286" w:rsidP="005E6286">
      <w:pPr>
        <w:spacing w:after="160" w:line="259" w:lineRule="auto"/>
        <w:rPr>
          <w:rFonts w:ascii="Calibri" w:eastAsia="Calibri" w:hAnsi="Calibri" w:cs="Calibri"/>
          <w:sz w:val="22"/>
          <w:lang w:val="uk-UA" w:eastAsia="uk-UA"/>
        </w:rPr>
      </w:pPr>
    </w:p>
    <w:p w14:paraId="6B062DEC" w14:textId="77777777" w:rsidR="00BF5841" w:rsidRPr="005E6286" w:rsidRDefault="00944F86">
      <w:pPr>
        <w:rPr>
          <w:lang w:val="uk-UA"/>
        </w:rPr>
      </w:pPr>
    </w:p>
    <w:sectPr w:rsidR="00BF5841" w:rsidRPr="005E6286" w:rsidSect="007B3CC6">
      <w:headerReference w:type="even" r:id="rId21"/>
      <w:headerReference w:type="default" r:id="rId22"/>
      <w:footerReference w:type="even" r:id="rId23"/>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C33C8" w14:textId="77777777" w:rsidR="00944F86" w:rsidRDefault="00944F86">
      <w:r>
        <w:separator/>
      </w:r>
    </w:p>
  </w:endnote>
  <w:endnote w:type="continuationSeparator" w:id="0">
    <w:p w14:paraId="48467CD6" w14:textId="77777777" w:rsidR="00944F86" w:rsidRDefault="0094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FD676" w14:textId="77777777" w:rsidR="004B5EF7" w:rsidRDefault="005E6286">
    <w:pPr>
      <w:pBdr>
        <w:top w:val="nil"/>
        <w:left w:val="nil"/>
        <w:bottom w:val="nil"/>
        <w:right w:val="nil"/>
        <w:between w:val="nil"/>
      </w:pBdr>
      <w:tabs>
        <w:tab w:val="center" w:pos="4819"/>
        <w:tab w:val="right" w:pos="9639"/>
      </w:tabs>
      <w:jc w:val="right"/>
      <w:rPr>
        <w:color w:val="000000"/>
      </w:rPr>
    </w:pPr>
    <w:r>
      <w:rPr>
        <w:color w:val="000000"/>
      </w:rPr>
      <w:fldChar w:fldCharType="begin"/>
    </w:r>
    <w:r>
      <w:rPr>
        <w:color w:val="000000"/>
      </w:rPr>
      <w:instrText>PAGE</w:instrText>
    </w:r>
    <w:r>
      <w:rPr>
        <w:color w:val="000000"/>
      </w:rPr>
      <w:fldChar w:fldCharType="end"/>
    </w:r>
  </w:p>
  <w:p w14:paraId="63A360DB" w14:textId="77777777" w:rsidR="004B5EF7" w:rsidRDefault="00944F86">
    <w:pPr>
      <w:pBdr>
        <w:top w:val="nil"/>
        <w:left w:val="nil"/>
        <w:bottom w:val="nil"/>
        <w:right w:val="nil"/>
        <w:between w:val="nil"/>
      </w:pBdr>
      <w:tabs>
        <w:tab w:val="center" w:pos="4819"/>
        <w:tab w:val="right" w:pos="9639"/>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CCE0E" w14:textId="77777777" w:rsidR="00944F86" w:rsidRDefault="00944F86">
      <w:r>
        <w:separator/>
      </w:r>
    </w:p>
  </w:footnote>
  <w:footnote w:type="continuationSeparator" w:id="0">
    <w:p w14:paraId="78024E86" w14:textId="77777777" w:rsidR="00944F86" w:rsidRDefault="0094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F95C9" w14:textId="77777777" w:rsidR="004B5EF7" w:rsidRDefault="005E6286">
    <w:pPr>
      <w:pBdr>
        <w:top w:val="nil"/>
        <w:left w:val="nil"/>
        <w:bottom w:val="nil"/>
        <w:right w:val="nil"/>
        <w:between w:val="nil"/>
      </w:pBdr>
      <w:tabs>
        <w:tab w:val="center" w:pos="4819"/>
        <w:tab w:val="right" w:pos="9639"/>
      </w:tabs>
      <w:jc w:val="right"/>
      <w:rPr>
        <w:color w:val="000000"/>
      </w:rPr>
    </w:pPr>
    <w:r>
      <w:rPr>
        <w:color w:val="000000"/>
      </w:rPr>
      <w:fldChar w:fldCharType="begin"/>
    </w:r>
    <w:r>
      <w:rPr>
        <w:color w:val="000000"/>
      </w:rPr>
      <w:instrText>PAGE</w:instrText>
    </w:r>
    <w:r>
      <w:rPr>
        <w:color w:val="000000"/>
      </w:rPr>
      <w:fldChar w:fldCharType="end"/>
    </w:r>
  </w:p>
  <w:p w14:paraId="4D62039B" w14:textId="77777777" w:rsidR="004B5EF7" w:rsidRDefault="00944F86">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56D15" w14:textId="77777777" w:rsidR="004B5EF7" w:rsidRDefault="005E6286">
    <w:pPr>
      <w:pBdr>
        <w:top w:val="nil"/>
        <w:left w:val="nil"/>
        <w:bottom w:val="nil"/>
        <w:right w:val="nil"/>
        <w:between w:val="nil"/>
      </w:pBdr>
      <w:tabs>
        <w:tab w:val="center" w:pos="4819"/>
        <w:tab w:val="right" w:pos="9639"/>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4A1690AD" w14:textId="77777777" w:rsidR="004B5EF7" w:rsidRDefault="00944F86">
    <w:pPr>
      <w:pBdr>
        <w:top w:val="nil"/>
        <w:left w:val="nil"/>
        <w:bottom w:val="nil"/>
        <w:right w:val="nil"/>
        <w:between w:val="nil"/>
      </w:pBdr>
      <w:tabs>
        <w:tab w:val="center" w:pos="4819"/>
        <w:tab w:val="right" w:pos="9639"/>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AA731E"/>
    <w:multiLevelType w:val="multilevel"/>
    <w:tmpl w:val="4D088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8D7B2C"/>
    <w:multiLevelType w:val="hybridMultilevel"/>
    <w:tmpl w:val="0D747D82"/>
    <w:lvl w:ilvl="0" w:tplc="6A6E5FE6">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86"/>
    <w:rsid w:val="00202C32"/>
    <w:rsid w:val="002F02E5"/>
    <w:rsid w:val="003B7303"/>
    <w:rsid w:val="003D51D3"/>
    <w:rsid w:val="004D6B40"/>
    <w:rsid w:val="005E6286"/>
    <w:rsid w:val="00662110"/>
    <w:rsid w:val="00944F86"/>
    <w:rsid w:val="00B208B0"/>
    <w:rsid w:val="00C70BB1"/>
    <w:rsid w:val="00DE4013"/>
    <w:rsid w:val="00DF2DBD"/>
    <w:rsid w:val="00EB57C6"/>
    <w:rsid w:val="00EF7572"/>
    <w:rsid w:val="00FB7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36B6"/>
  <w15:chartTrackingRefBased/>
  <w15:docId w15:val="{0F93C3D8-7E13-40C1-BEDF-8699CCAC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BB1"/>
    <w:pPr>
      <w:spacing w:after="0" w:line="240" w:lineRule="auto"/>
    </w:pPr>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572"/>
    <w:pPr>
      <w:ind w:left="720"/>
      <w:contextualSpacing/>
    </w:pPr>
  </w:style>
  <w:style w:type="character" w:styleId="a4">
    <w:name w:val="Hyperlink"/>
    <w:basedOn w:val="a0"/>
    <w:uiPriority w:val="99"/>
    <w:unhideWhenUsed/>
    <w:rsid w:val="00EF7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a.plakhtiy@kpnu.edu.ua" TargetMode="External"/><Relationship Id="rId13" Type="http://schemas.openxmlformats.org/officeDocument/2006/relationships/hyperlink" Target="https://integrity.kpnu.edu.ua/" TargetMode="External"/><Relationship Id="rId18" Type="http://schemas.openxmlformats.org/officeDocument/2006/relationships/hyperlink" Target="http://gendermuseum.com/modules/stop_sx/i18.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moodle.kpnu.edu.ua/course/view.php?id=9726" TargetMode="External"/><Relationship Id="rId17" Type="http://schemas.openxmlformats.org/officeDocument/2006/relationships/hyperlink" Target="http://imi.org.ua/gender_monitor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pository.hneu.edu.ua/handle/123456789/32738" TargetMode="External"/><Relationship Id="rId20" Type="http://schemas.openxmlformats.org/officeDocument/2006/relationships/hyperlink" Target="https://kpnu.edu.ua/rozklad-zani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789-771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rive.google.com/file/d/19GCSM3y-K496gs8RQJp0mO9FjUJumB4T/view" TargetMode="External"/><Relationship Id="rId23" Type="http://schemas.openxmlformats.org/officeDocument/2006/relationships/footer" Target="footer1.xml"/><Relationship Id="rId10" Type="http://schemas.openxmlformats.org/officeDocument/2006/relationships/hyperlink" Target="https://scholar.google.com.ua/citations?user=OryS5VcAAAAJ&amp;hl=uk&amp;authuser=1" TargetMode="External"/><Relationship Id="rId19" Type="http://schemas.openxmlformats.org/officeDocument/2006/relationships/hyperlink" Target="https://drive.google.com/file/d/1ZbMN35h-7ZSJBBOVvL2bTCaLtRbcQA86/view" TargetMode="External"/><Relationship Id="rId4" Type="http://schemas.openxmlformats.org/officeDocument/2006/relationships/webSettings" Target="webSettings.xml"/><Relationship Id="rId9" Type="http://schemas.openxmlformats.org/officeDocument/2006/relationships/hyperlink" Target="http://politkaf.kpnu.edu.ua/plakhtij-marianna-petrivna/" TargetMode="External"/><Relationship Id="rId14" Type="http://schemas.openxmlformats.org/officeDocument/2006/relationships/hyperlink" Target="https://drive.google.com/file/d/1ZbMN35h-7ZSJBBOVvL2bTCaLtRbcQA86/view"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1252</Words>
  <Characters>7138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2025-12-01T19:20:00Z</dcterms:created>
  <dcterms:modified xsi:type="dcterms:W3CDTF">2025-12-01T19:36:00Z</dcterms:modified>
</cp:coreProperties>
</file>